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3650D" w14:textId="77777777" w:rsidR="001E6BBD" w:rsidRDefault="001E6BBD" w:rsidP="001E6BBD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BCC09D" wp14:editId="17361616">
            <wp:extent cx="1000125" cy="762000"/>
            <wp:effectExtent l="0" t="0" r="9525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86955" w14:textId="77777777" w:rsidR="001E6BBD" w:rsidRDefault="001E6BBD" w:rsidP="001E6BB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6F7DB1E6" w14:textId="77777777" w:rsidR="001E6BBD" w:rsidRDefault="001E6BBD" w:rsidP="001E6BB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441EC475" w14:textId="77777777" w:rsidR="001E6BBD" w:rsidRDefault="001E6BBD" w:rsidP="001E6BB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1E6BBD" w14:paraId="66E77B80" w14:textId="77777777" w:rsidTr="001E6BBD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6B6398BD" w14:textId="77777777" w:rsidR="001E6BBD" w:rsidRDefault="001E6BB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5979CC9E" w14:textId="77777777" w:rsidR="001E6BBD" w:rsidRDefault="001E6BBD" w:rsidP="001E6BBD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30ABB18D" w14:textId="77777777" w:rsidR="001E6BBD" w:rsidRDefault="001E6BBD" w:rsidP="001E6BB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45C73421" w14:textId="77777777" w:rsidR="001E6BBD" w:rsidRDefault="001E6BBD" w:rsidP="001E6BB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0627C1E4" w14:textId="77777777" w:rsidR="001E6BBD" w:rsidRDefault="001E6BBD" w:rsidP="001E6BB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3E45EA85" w14:textId="77777777" w:rsidR="001E6BBD" w:rsidRDefault="001E6BBD" w:rsidP="001E6BBD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1B42CDFB" w14:textId="6D0E5D97" w:rsidR="001E6BBD" w:rsidRDefault="001E6BBD" w:rsidP="001E6B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 w:themeColor="accent1"/>
          <w:sz w:val="26"/>
          <w:szCs w:val="26"/>
          <w:lang w:eastAsia="ru-RU"/>
        </w:rPr>
        <w:t xml:space="preserve">от «24» апреля 2026 г.      № </w:t>
      </w:r>
      <w:r w:rsidR="00CD05B9">
        <w:rPr>
          <w:rFonts w:ascii="Times New Roman" w:eastAsia="Times New Roman" w:hAnsi="Times New Roman"/>
          <w:b/>
          <w:i/>
          <w:color w:val="4472C4" w:themeColor="accent1"/>
          <w:sz w:val="26"/>
          <w:szCs w:val="26"/>
          <w:lang w:eastAsia="ru-RU"/>
        </w:rPr>
        <w:t>10-1</w:t>
      </w:r>
    </w:p>
    <w:p w14:paraId="6CE4CB9B" w14:textId="77777777" w:rsidR="001E6BBD" w:rsidRDefault="001E6BBD" w:rsidP="001E6BBD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063E6B5" w14:textId="77777777" w:rsidR="001E6BBD" w:rsidRDefault="001E6BBD" w:rsidP="001E6BBD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ОТЧЕТЕ ГЛАВЫ ГОРОДА МАХАЧКАЛЫ О РЕЗУЛЬТАТАХ СВОЕЙ ДЕЯТЕЛЬНОСТИ И ДЕЯТЕЛЬНОСТИ АДМИНИСТРАЦИИ </w:t>
      </w:r>
    </w:p>
    <w:p w14:paraId="339668B9" w14:textId="77777777" w:rsidR="001E6BBD" w:rsidRDefault="001E6BBD" w:rsidP="001E6BBD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ГОРОДА МАХАЧКАЛЫ ЗА 2025 ГОД</w:t>
      </w:r>
    </w:p>
    <w:p w14:paraId="2C3C592D" w14:textId="77777777" w:rsidR="001E6BBD" w:rsidRDefault="001E6BBD" w:rsidP="001E6BBD">
      <w:pPr>
        <w:spacing w:after="0" w:line="276" w:lineRule="auto"/>
        <w:ind w:firstLine="354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235D044" w14:textId="77777777" w:rsidR="001E6BBD" w:rsidRDefault="001E6BBD" w:rsidP="001E6BBD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Заслушав и обсудив отчет Главы города Махачкалы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Салавова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Д. Ш. о результатах своей деятельности и деятельности администрации города Махачкалы за 2025 год, представленный в соответствии с </w:t>
      </w:r>
      <w:r w:rsidRPr="001E6BBD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от 20.03.2025 г.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Уставом города Махачкалы и Положением</w:t>
      </w:r>
      <w: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порядке представления и рассмотрения ежегодного отчета Главы городского округа с внутригородским делением «город Махачкала», утвержденным Решением Собрания депутатов городского округа «город Махачкала» от 21 сентября 2017 г. № 18-13, Собрание депутатов городского округа «город Махачкала» </w:t>
      </w:r>
    </w:p>
    <w:p w14:paraId="05838E08" w14:textId="77777777" w:rsidR="001E6BBD" w:rsidRDefault="001E6BBD" w:rsidP="001E6BBD">
      <w:pPr>
        <w:spacing w:after="0"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2EC8DC4" w14:textId="77777777" w:rsidR="001E6BBD" w:rsidRDefault="001E6BBD" w:rsidP="001E6BBD">
      <w:pPr>
        <w:spacing w:after="0"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68076F45" w14:textId="77777777" w:rsidR="001E6BBD" w:rsidRDefault="001E6BBD" w:rsidP="001E6BBD">
      <w:pPr>
        <w:spacing w:after="0" w:line="276" w:lineRule="auto"/>
        <w:ind w:left="360"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448675" w14:textId="77777777" w:rsidR="001E6BBD" w:rsidRDefault="001E6BBD" w:rsidP="001E6BBD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Отчет Главы города Махачкалы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Салавова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Д. Ш. о результатах своей деятельности и деятельности администрации города Махачкалы за 2025 год принять к сведению (приложение).</w:t>
      </w:r>
    </w:p>
    <w:p w14:paraId="5FE6E88E" w14:textId="77777777" w:rsidR="001E6BBD" w:rsidRDefault="001E6BBD" w:rsidP="001E6BBD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Утвердить отчет Главы города Махачкалы о результатах своей деятельности и деятельности администрации города Махачкалы за 2025 год с оценкой «удовлетворительно».</w:t>
      </w:r>
    </w:p>
    <w:p w14:paraId="38747651" w14:textId="77777777" w:rsidR="001E6BBD" w:rsidRDefault="001E6BBD" w:rsidP="001E6BBD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Настоящее Решение опубликовать в газете </w:t>
      </w:r>
      <w:bookmarkStart w:id="0" w:name="_Hlk197348192"/>
      <w:r>
        <w:rPr>
          <w:rFonts w:ascii="Times New Roman" w:eastAsia="Times New Roman" w:hAnsi="Times New Roman"/>
          <w:sz w:val="28"/>
          <w:szCs w:val="28"/>
          <w:lang w:eastAsia="ru-RU"/>
        </w:rPr>
        <w:t>«Махачкалинские известия».</w:t>
      </w:r>
    </w:p>
    <w:bookmarkEnd w:id="0"/>
    <w:p w14:paraId="66EBC469" w14:textId="77777777" w:rsidR="001E6BBD" w:rsidRDefault="001E6BBD" w:rsidP="001E6BB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DAD8D1" w14:textId="62D5F0F4" w:rsidR="001E6BBD" w:rsidRDefault="001E6BBD" w:rsidP="001E6BB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Председатель Собрания                                                       Х. Алиев</w:t>
      </w:r>
    </w:p>
    <w:p w14:paraId="4489B2D5" w14:textId="719E6852" w:rsidR="00471616" w:rsidRDefault="00471616" w:rsidP="001E6BB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51514E9" w14:textId="74D02A0C" w:rsidR="00471616" w:rsidRDefault="00471616" w:rsidP="001E6BB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0EA14C7" w14:textId="5F2C1166" w:rsidR="00471616" w:rsidRDefault="00471616" w:rsidP="001E6BB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C03E40" w14:textId="77777777" w:rsidR="00E51813" w:rsidRDefault="00E51813" w:rsidP="00471616">
      <w:pPr>
        <w:spacing w:after="0" w:line="240" w:lineRule="auto"/>
        <w:ind w:left="3828" w:firstLine="708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196731557"/>
      <w:bookmarkStart w:id="2" w:name="_Hlk162357359"/>
    </w:p>
    <w:p w14:paraId="4BF85256" w14:textId="6F18B13F" w:rsidR="00471616" w:rsidRDefault="00E51813" w:rsidP="00471616">
      <w:pPr>
        <w:spacing w:after="0" w:line="240" w:lineRule="auto"/>
        <w:ind w:left="3828"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Приложение</w:t>
      </w:r>
    </w:p>
    <w:p w14:paraId="107B95C5" w14:textId="49DE591F" w:rsidR="00471616" w:rsidRDefault="00E51813" w:rsidP="00471616">
      <w:pPr>
        <w:spacing w:after="0" w:line="240" w:lineRule="auto"/>
        <w:ind w:left="3828"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471616">
        <w:rPr>
          <w:rFonts w:ascii="Times New Roman" w:hAnsi="Times New Roman"/>
          <w:b/>
          <w:bCs/>
          <w:sz w:val="28"/>
          <w:szCs w:val="28"/>
        </w:rPr>
        <w:t>решени</w:t>
      </w:r>
      <w:r>
        <w:rPr>
          <w:rFonts w:ascii="Times New Roman" w:hAnsi="Times New Roman"/>
          <w:b/>
          <w:bCs/>
          <w:sz w:val="28"/>
          <w:szCs w:val="28"/>
        </w:rPr>
        <w:t>ю</w:t>
      </w:r>
      <w:r w:rsidR="00471616">
        <w:rPr>
          <w:rFonts w:ascii="Times New Roman" w:hAnsi="Times New Roman"/>
          <w:b/>
          <w:bCs/>
          <w:sz w:val="28"/>
          <w:szCs w:val="28"/>
        </w:rPr>
        <w:t xml:space="preserve"> Собрания депутатов </w:t>
      </w:r>
    </w:p>
    <w:p w14:paraId="702D68F3" w14:textId="77777777" w:rsidR="00471616" w:rsidRDefault="00471616" w:rsidP="00471616">
      <w:pPr>
        <w:spacing w:after="0" w:line="240" w:lineRule="auto"/>
        <w:ind w:left="3828"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городского округа «город Махачкала»</w:t>
      </w:r>
    </w:p>
    <w:p w14:paraId="19202FEF" w14:textId="77777777" w:rsidR="00471616" w:rsidRDefault="00471616" w:rsidP="00471616">
      <w:pPr>
        <w:spacing w:after="0" w:line="240" w:lineRule="auto"/>
        <w:ind w:left="3828"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24 апреля 2026 г. № 10-1 </w:t>
      </w:r>
    </w:p>
    <w:p w14:paraId="02DBAED5" w14:textId="77777777" w:rsidR="00471616" w:rsidRDefault="00471616" w:rsidP="00471616">
      <w:pPr>
        <w:pStyle w:val="a4"/>
        <w:ind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0CECE09" w14:textId="77777777" w:rsidR="00471616" w:rsidRDefault="00471616" w:rsidP="00471616">
      <w:pPr>
        <w:pStyle w:val="a4"/>
        <w:ind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ОТЧЁТ </w:t>
      </w:r>
    </w:p>
    <w:p w14:paraId="58C31300" w14:textId="77777777" w:rsidR="00471616" w:rsidRDefault="00471616" w:rsidP="00471616">
      <w:pPr>
        <w:pStyle w:val="a4"/>
        <w:ind w:firstLine="567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ГЛАВЫ ГОРОДА МАХАЧКАЛЫ СОБРАНИЮ ДЕПУТАТОВ ГОРОДСКОГО ОКРУГА «ГОРОД МАХАЧКАЛА» О РЕЗУЛЬТАТАХ СВОЕЙ ДЕЯТЕЛЬНОСТИ И ДЕЯТЕЛЬНОСТИ АДМИНИСТРАЦИИ ГОРОДА ЗА 2025 Г.</w:t>
      </w:r>
    </w:p>
    <w:p w14:paraId="4EBCCEC6" w14:textId="77777777" w:rsidR="00471616" w:rsidRDefault="00471616" w:rsidP="00471616">
      <w:pPr>
        <w:pStyle w:val="a4"/>
        <w:ind w:firstLine="567"/>
        <w:jc w:val="both"/>
        <w:rPr>
          <w:rFonts w:ascii="Times New Roman" w:hAnsi="Times New Roman"/>
          <w:sz w:val="14"/>
          <w:szCs w:val="14"/>
          <w:lang w:eastAsia="ru-RU"/>
        </w:rPr>
      </w:pPr>
    </w:p>
    <w:p w14:paraId="3C5571B9" w14:textId="77777777" w:rsidR="00471616" w:rsidRDefault="00471616" w:rsidP="00471616">
      <w:pPr>
        <w:pStyle w:val="a4"/>
        <w:ind w:firstLine="567"/>
        <w:jc w:val="both"/>
        <w:rPr>
          <w:rFonts w:ascii="Times New Roman" w:hAnsi="Times New Roman"/>
          <w:sz w:val="4"/>
          <w:szCs w:val="4"/>
          <w:lang w:eastAsia="ru-RU"/>
        </w:rPr>
      </w:pPr>
    </w:p>
    <w:p w14:paraId="34F8A059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Системный подход — основа эффективного управления.</w:t>
      </w:r>
    </w:p>
    <w:p w14:paraId="412C3D84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Результативность и эффективность деятельности Администрации города напрямую зависят от системности муниципального управления и устойчивости кадрового состава.</w:t>
      </w:r>
    </w:p>
    <w:p w14:paraId="5940B9DB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Нами проводится масштабная работа по оптимизации штатной численности и совершенствованию организационной структуры.</w:t>
      </w:r>
    </w:p>
    <w:p w14:paraId="2326FCA6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2025г. вместо упразднённых внутригородских районов в структуре Администрации городского округа «город Махачкала» созданы администрации трёх районов — Ленинского, Советского и Кировского.</w:t>
      </w:r>
    </w:p>
    <w:p w14:paraId="29B729F9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усиления приоритетных направлений ряд отделов преобразованы в управления с увеличением штатной численности.</w:t>
      </w:r>
    </w:p>
    <w:p w14:paraId="72D1FBBD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Президент Российской Федерации Владимир Владимирович Путин неоднократно подчёркивал: именно на муниципальном уровне, на земле, решаются главные вопросы, волнующие людей. От качества работы местной власти зависит доверие к власти государственной. Поэтому все наши действия мы выверяем по главному ориентиру — указам и поручениям главы государства, руководства республики, которые определяют ключевые направления развития страны на долгосрочную перспективу.</w:t>
      </w:r>
    </w:p>
    <w:p w14:paraId="7CB36A08" w14:textId="45D8DCE1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Наша общая задача</w:t>
      </w:r>
      <w:r w:rsidR="009E172C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bookmarkStart w:id="3" w:name="_GoBack"/>
      <w:bookmarkEnd w:id="3"/>
      <w:r>
        <w:rPr>
          <w:rFonts w:ascii="Times New Roman" w:eastAsia="Times New Roman" w:hAnsi="Times New Roman"/>
          <w:sz w:val="28"/>
          <w:szCs w:val="28"/>
          <w:lang w:eastAsia="ru-RU"/>
        </w:rPr>
        <w:t>используя итоги прошлого года и ваши предложения уточнить планы и задачи на 2026 год.</w:t>
      </w:r>
    </w:p>
    <w:p w14:paraId="09F7B629" w14:textId="77777777" w:rsidR="00471616" w:rsidRDefault="00471616" w:rsidP="00471616">
      <w:pPr>
        <w:keepNext/>
        <w:keepLines/>
        <w:spacing w:after="0" w:line="276" w:lineRule="auto"/>
        <w:ind w:firstLine="709"/>
        <w:outlineLvl w:val="0"/>
        <w:rPr>
          <w:rFonts w:ascii="Times New Roman" w:eastAsia="Times New Roman" w:hAnsi="Times New Roman"/>
          <w:sz w:val="10"/>
          <w:szCs w:val="10"/>
          <w:lang w:eastAsia="ru-RU"/>
        </w:rPr>
      </w:pPr>
    </w:p>
    <w:p w14:paraId="7F14031B" w14:textId="77777777" w:rsidR="00471616" w:rsidRDefault="00471616" w:rsidP="00471616">
      <w:pPr>
        <w:keepNext/>
        <w:keepLines/>
        <w:spacing w:after="0" w:line="276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Экономика и финансы</w:t>
      </w:r>
    </w:p>
    <w:p w14:paraId="3DC81633" w14:textId="77777777" w:rsidR="00471616" w:rsidRDefault="00471616" w:rsidP="00471616">
      <w:pPr>
        <w:keepNext/>
        <w:keepLines/>
        <w:spacing w:after="0" w:line="276" w:lineRule="auto"/>
        <w:ind w:firstLine="709"/>
        <w:outlineLvl w:val="0"/>
        <w:rPr>
          <w:rFonts w:ascii="Times New Roman" w:eastAsia="Times New Roman" w:hAnsi="Times New Roman"/>
          <w:b/>
          <w:bCs/>
          <w:sz w:val="14"/>
          <w:szCs w:val="14"/>
        </w:rPr>
      </w:pPr>
    </w:p>
    <w:p w14:paraId="400871E0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2025 год для Махачкалы стал годом работы в условиях существующих внешних вызовов. Это и общенациональная повестка, связанная с проведением специальной военной операции, и сохраняющееся внешнее экономическое давление.</w:t>
      </w:r>
    </w:p>
    <w:p w14:paraId="1F0585EE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этих условиях ключевой задачей для нас было не просто сохранить устойчивость городской экономики и бюджетной системы, а обеспечить их дальнейшее развитие.</w:t>
      </w:r>
    </w:p>
    <w:p w14:paraId="31EFAFFD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 сегодня можно с уверенностью сказать: по основным направлениям нам удалось сохранить положительную динамику и обеспечить ощутимые результаты.</w:t>
      </w:r>
    </w:p>
    <w:p w14:paraId="533F3D0C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Город продолжает расти как по численности населения, так и по экономической активности. Это создает дополнительную нагрузку на бюджет, инфраструктуру и систему управления, но одновременно подтверждает, что Махачкала остается главным центром притяжения деловой, инвестиционной и социальной активности.</w:t>
      </w:r>
    </w:p>
    <w:p w14:paraId="3C15E1C8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итогам 2025 года:</w:t>
      </w:r>
    </w:p>
    <w:p w14:paraId="2E838921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u w:val="single"/>
        </w:rPr>
        <w:t>Объем отгруженных товаров собственного производства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выполненных работ и услуг организациями промышленности составил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12, 3 млрд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рублей.</w:t>
      </w:r>
    </w:p>
    <w:p w14:paraId="073077CE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u w:val="single"/>
        </w:rPr>
        <w:t>Объем инвестиций в основной капитал,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по предварительной оценке, составил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 xml:space="preserve">30,8 млрд рублей. </w:t>
      </w:r>
    </w:p>
    <w:p w14:paraId="6970D1E1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ряду ключевых направлений зафиксирован уверенный рост.</w:t>
      </w:r>
    </w:p>
    <w:p w14:paraId="28309FD9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Объем работ по виду деятельности «Строительство»</w:t>
      </w:r>
      <w:r>
        <w:rPr>
          <w:rFonts w:ascii="Times New Roman" w:eastAsia="Times New Roman" w:hAnsi="Times New Roman"/>
          <w:sz w:val="28"/>
          <w:szCs w:val="28"/>
        </w:rPr>
        <w:t xml:space="preserve"> составил </w:t>
      </w:r>
      <w:r>
        <w:rPr>
          <w:rFonts w:ascii="Times New Roman" w:eastAsia="Times New Roman" w:hAnsi="Times New Roman"/>
          <w:b/>
          <w:bCs/>
          <w:sz w:val="28"/>
          <w:szCs w:val="28"/>
        </w:rPr>
        <w:t>6,095 млрд рублей, или 121,2</w:t>
      </w:r>
      <w:r>
        <w:rPr>
          <w:rFonts w:ascii="Times New Roman" w:eastAsia="Times New Roman" w:hAnsi="Times New Roman"/>
          <w:sz w:val="28"/>
          <w:szCs w:val="28"/>
        </w:rPr>
        <w:t xml:space="preserve"> процента к уровню предыдущего года.</w:t>
      </w:r>
    </w:p>
    <w:p w14:paraId="6C710C04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Оборот субъектов малого и среднего предпринимательства</w:t>
      </w:r>
      <w:r>
        <w:rPr>
          <w:rFonts w:ascii="Times New Roman" w:eastAsia="Times New Roman" w:hAnsi="Times New Roman"/>
          <w:sz w:val="28"/>
          <w:szCs w:val="28"/>
        </w:rPr>
        <w:t xml:space="preserve"> вырос на </w:t>
      </w:r>
      <w:r>
        <w:rPr>
          <w:rFonts w:ascii="Times New Roman" w:eastAsia="Times New Roman" w:hAnsi="Times New Roman"/>
          <w:b/>
          <w:bCs/>
          <w:sz w:val="28"/>
          <w:szCs w:val="28"/>
        </w:rPr>
        <w:t>16,5 процента и превысил 138 млрд рублей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47E6DA88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Количество субъектов малого и среднего предпринимательства увеличилось на </w:t>
      </w:r>
      <w:r>
        <w:rPr>
          <w:rFonts w:ascii="Times New Roman" w:eastAsia="Times New Roman" w:hAnsi="Times New Roman"/>
          <w:b/>
          <w:bCs/>
          <w:sz w:val="28"/>
          <w:szCs w:val="28"/>
        </w:rPr>
        <w:t>2 159</w:t>
      </w:r>
      <w:r>
        <w:rPr>
          <w:rFonts w:ascii="Times New Roman" w:eastAsia="Times New Roman" w:hAnsi="Times New Roman"/>
          <w:sz w:val="28"/>
          <w:szCs w:val="28"/>
        </w:rPr>
        <w:t xml:space="preserve"> единиц и достигло </w:t>
      </w:r>
      <w:r>
        <w:rPr>
          <w:rFonts w:ascii="Times New Roman" w:eastAsia="Times New Roman" w:hAnsi="Times New Roman"/>
          <w:b/>
          <w:bCs/>
          <w:sz w:val="28"/>
          <w:szCs w:val="28"/>
        </w:rPr>
        <w:t>18 344.</w:t>
      </w:r>
    </w:p>
    <w:p w14:paraId="7E5A6E97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Среднемесячная номинальная начисленная заработная</w:t>
      </w:r>
      <w:r>
        <w:rPr>
          <w:rFonts w:ascii="Times New Roman" w:eastAsia="Times New Roman" w:hAnsi="Times New Roman"/>
          <w:sz w:val="28"/>
          <w:szCs w:val="28"/>
        </w:rPr>
        <w:t xml:space="preserve"> плата работников организаций составила </w:t>
      </w:r>
      <w:r>
        <w:rPr>
          <w:rFonts w:ascii="Times New Roman" w:eastAsia="Times New Roman" w:hAnsi="Times New Roman"/>
          <w:b/>
          <w:bCs/>
          <w:sz w:val="28"/>
          <w:szCs w:val="28"/>
        </w:rPr>
        <w:t>63 866 рублей</w:t>
      </w:r>
      <w:r>
        <w:rPr>
          <w:rFonts w:ascii="Times New Roman" w:eastAsia="Times New Roman" w:hAnsi="Times New Roman"/>
          <w:sz w:val="28"/>
          <w:szCs w:val="28"/>
        </w:rPr>
        <w:t>, увеличившись более чем на 10 процентов к 2024 году.</w:t>
      </w:r>
    </w:p>
    <w:p w14:paraId="6E51993A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Численность вновь созданных рабочих мест</w:t>
      </w:r>
      <w:r>
        <w:rPr>
          <w:rFonts w:ascii="Times New Roman" w:eastAsia="Times New Roman" w:hAnsi="Times New Roman"/>
          <w:sz w:val="28"/>
          <w:szCs w:val="28"/>
        </w:rPr>
        <w:t xml:space="preserve"> составила </w:t>
      </w:r>
      <w:r>
        <w:rPr>
          <w:rFonts w:ascii="Times New Roman" w:eastAsia="Times New Roman" w:hAnsi="Times New Roman"/>
          <w:b/>
          <w:bCs/>
          <w:sz w:val="28"/>
          <w:szCs w:val="28"/>
        </w:rPr>
        <w:t>4 740,</w:t>
      </w:r>
      <w:r>
        <w:rPr>
          <w:rFonts w:ascii="Times New Roman" w:eastAsia="Times New Roman" w:hAnsi="Times New Roman"/>
          <w:sz w:val="28"/>
          <w:szCs w:val="28"/>
        </w:rPr>
        <w:t xml:space="preserve"> что на 12,5 процента выше уровня предыдущего года.</w:t>
      </w:r>
    </w:p>
    <w:p w14:paraId="4B70485F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Все это подтверждает, что экономика города сохраняет устойчивость, адаптируется к текущим условиям и формирует основу для дальнейшего роста.</w:t>
      </w:r>
    </w:p>
    <w:p w14:paraId="2D95398F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14"/>
          <w:szCs w:val="14"/>
        </w:rPr>
      </w:pPr>
    </w:p>
    <w:p w14:paraId="50CDDCA5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БЮДЖЕТ</w:t>
      </w:r>
    </w:p>
    <w:p w14:paraId="04967A8A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Доходы бюджета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1BE7B662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В консолидированный бюджет города </w:t>
      </w:r>
      <w:r>
        <w:rPr>
          <w:rFonts w:ascii="Times New Roman" w:eastAsia="Times New Roman" w:hAnsi="Times New Roman"/>
          <w:sz w:val="28"/>
          <w:szCs w:val="28"/>
        </w:rPr>
        <w:t xml:space="preserve">за 2025 год поступило доходов в общей сумме </w:t>
      </w:r>
      <w:r>
        <w:rPr>
          <w:rFonts w:ascii="Times New Roman" w:eastAsia="Times New Roman" w:hAnsi="Times New Roman"/>
          <w:b/>
          <w:bCs/>
          <w:sz w:val="28"/>
          <w:szCs w:val="28"/>
        </w:rPr>
        <w:t>16 753,6 млн рублей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234C9490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Безвозмездные поступления </w:t>
      </w:r>
      <w:r>
        <w:rPr>
          <w:rFonts w:ascii="Times New Roman" w:eastAsia="Times New Roman" w:hAnsi="Times New Roman"/>
          <w:i/>
          <w:sz w:val="28"/>
          <w:szCs w:val="28"/>
        </w:rPr>
        <w:t>(межбюджетные трансферты из республиканского бюджета)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составили 9 756,7 млн рублей.</w:t>
      </w:r>
    </w:p>
    <w:p w14:paraId="4BEC0C50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Общий объем собственных налоговых и неналоговых </w:t>
      </w:r>
      <w:r>
        <w:rPr>
          <w:rFonts w:ascii="Times New Roman" w:eastAsia="Times New Roman" w:hAnsi="Times New Roman"/>
          <w:sz w:val="28"/>
          <w:szCs w:val="28"/>
          <w:u w:val="single"/>
        </w:rPr>
        <w:t>доходов</w:t>
      </w:r>
      <w:r>
        <w:rPr>
          <w:rFonts w:ascii="Times New Roman" w:eastAsia="Times New Roman" w:hAnsi="Times New Roman"/>
          <w:sz w:val="28"/>
          <w:szCs w:val="28"/>
        </w:rPr>
        <w:t xml:space="preserve"> составил 6 996,9 млн рублей или: </w:t>
      </w:r>
    </w:p>
    <w:p w14:paraId="39A13526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- 102,6 проц. к уточненному плану в сумме 6 821,2 млн рублей </w:t>
      </w:r>
      <w:r>
        <w:rPr>
          <w:rFonts w:ascii="Times New Roman" w:eastAsia="Times New Roman" w:hAnsi="Times New Roman"/>
          <w:i/>
          <w:sz w:val="28"/>
          <w:szCs w:val="28"/>
        </w:rPr>
        <w:t>(перевыполнение 175,7 млн)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7880D5B5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- 120,2 проц. к плану, установленному Межведомственной комиссии по определению налогового потенциала, в сумме 5 820,6 млн рублей (перевыполнение 1 176,3 млн).</w:t>
      </w:r>
    </w:p>
    <w:p w14:paraId="019377F8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u w:val="single"/>
        </w:rPr>
        <w:t>В сравнении с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2024 годом</w:t>
      </w:r>
      <w:r>
        <w:rPr>
          <w:rFonts w:ascii="Times New Roman" w:eastAsia="Times New Roman" w:hAnsi="Times New Roman"/>
          <w:sz w:val="28"/>
          <w:szCs w:val="28"/>
        </w:rPr>
        <w:t xml:space="preserve"> собственные доходы в целом увеличены на 988,5 млн рублей или 116,5 процента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(6 996,9 млн / 6 008,4 млн). </w:t>
      </w:r>
    </w:p>
    <w:p w14:paraId="116E1846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Прирост достигнут по всем видам налогов. В частности, возросли поступления по НДФЛ на 370,0 млн, налогу на имущество физических лиц – на 315,5 млн, земельному налогу – на 129,5 млн, от уплаты госпошлины – на 148,5 млн рублей. </w:t>
      </w:r>
    </w:p>
    <w:p w14:paraId="47A5EB3B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Существенную роль в формировании доходной базы играют и неналоговые доходы. </w:t>
      </w:r>
    </w:p>
    <w:p w14:paraId="433E0572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2025 году от использования муниципального имущества и земельных ресурсов в доход бюджета города поступило порядка 315 млн. рублей.</w:t>
      </w:r>
    </w:p>
    <w:p w14:paraId="3D63C1D4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этом мы понимаем, что потенциал доходной базы города значительно выше фактических поступлений.</w:t>
      </w:r>
    </w:p>
    <w:p w14:paraId="370FAC92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Именно поэтому в 2025 году нами была начата системная работа по капитализации территории города.</w:t>
      </w:r>
    </w:p>
    <w:p w14:paraId="6F5C2C9C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Эта работа ведется в рамках исполнения указания Президента Российской Федерации В.В. Путина от 16 сентября 2025 года №Пр-2120, которым поставлены задачи по повышению капитализации территорий, вовлечению неиспользуемых земель в экономический оборот, развитию инфраструктуры и расширению налоговой базы муниципалитетов.</w:t>
      </w:r>
    </w:p>
    <w:p w14:paraId="3E285921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Ее цель — привести в соответствие фактическое использование объектов недвижимости и их учетные характеристики, вовлечь неиспользуемые и неучтенные объекты в экономический оборот, расширить налогооблагаемую базу и создать дополнительные источники доходов бюджета.</w:t>
      </w:r>
    </w:p>
    <w:p w14:paraId="2CF01597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Создана рабочая группа по вопросам инвентаризации коммерческих объектов и кадастровой оценки, усилено направление муниципального земельного контроля, выстроено взаимодействие с Росреестром и налоговыми органами.</w:t>
      </w:r>
    </w:p>
    <w:p w14:paraId="11790A17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Работа велась по нескольким направлениям: приведение в соответствие видов разрешенного использования, выявление и регистрация неучтенных объектов, актуализация сведений об объектах недвижимости и вовлечение их в налогооблагаемый оборот.</w:t>
      </w:r>
    </w:p>
    <w:p w14:paraId="6B84CBBA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Уже есть первые ощутимые результаты, о которых будет сказано далее.</w:t>
      </w:r>
    </w:p>
    <w:p w14:paraId="60888153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Параллельно проводилась мероприятия в рамках деятельности зональной рабочей группы по легализации предпринимательской деятельности и снижению неформальной занятости.</w:t>
      </w:r>
    </w:p>
    <w:p w14:paraId="6FD63693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Сплошным методом обследовано более 9 400 объектов предпринимательства.</w:t>
      </w:r>
    </w:p>
    <w:p w14:paraId="07F8950D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судебные органы направлен 571 материал.</w:t>
      </w:r>
    </w:p>
    <w:p w14:paraId="667AB9B6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результате зарегистрировано 2 259 новых субъектов предпринимательства, легализовано более 6 тысяч работников, почти с 2 тысячами граждан оформлены трудовые отношения.</w:t>
      </w:r>
    </w:p>
    <w:p w14:paraId="0D33587B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План по выводу из теневой занятости перевыполнен и составил 116,4 процента.</w:t>
      </w:r>
    </w:p>
    <w:p w14:paraId="05D6269A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Таким образом, в 2025 году нам удалось не только обеспечить рост доходов, но и заложить системную основу для дальнейшего расширения экономической базы города.</w:t>
      </w:r>
    </w:p>
    <w:p w14:paraId="0393931A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Важным инструментом развития городской экономики остаются государственные и муниципальные программы.</w:t>
      </w:r>
    </w:p>
    <w:p w14:paraId="4F7F05EA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Совместно с Министерством экономики и территориального развития Республики Дагестан разработана и утверждена постановлением Правительства Республики Дагестан от 22 декабря 2023 года № 517 программа «Обеспечение развития и реализации городским округом «город Махачкала» функций столицы Республики Дагестан».</w:t>
      </w:r>
    </w:p>
    <w:p w14:paraId="5712C80F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Общий объем ее финансирования на 2026–2028 годы составляет 3 млрд 157,9 млн рублей, в том числе за счет средств республиканского бюджета — 3 млрд 000,1 млн рублей, бюджета города Махачкалы — 157,8 млн рублей.</w:t>
      </w:r>
    </w:p>
    <w:p w14:paraId="0691D06D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2025 году город участвовал в реализации 11 региональных проектов, входящих в состав 5 национальных проектов Российской Федерации.</w:t>
      </w:r>
    </w:p>
    <w:p w14:paraId="22F5AB6F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Финансовые средства были предусмотрены на реализацию, трех национальных проектов «Инфраструктура для жизни», «Молодежь и дети» и «Семья». Профинансировано и освоено в полном объеме 684 млн рублей, в том числе 673,45 млн рублей — средства федерального бюджета, 2,8 млн рублей — республиканского бюджета и 7,3 млн рублей — средства муниципального бюджета.</w:t>
      </w:r>
    </w:p>
    <w:p w14:paraId="45BE7FE4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2026 году участие Махачкалы в национальных и государственных программах будет продолжено. </w:t>
      </w:r>
    </w:p>
    <w:p w14:paraId="383D1B01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рамках реализации мероприятий национальных проектов запланированы благоустройство 11 дворовых и 6 общественных территорий, создание муниципального Дома молодежи, создание детского культурно-просветительского центра в Шамхал-Термене, приобретение современного оборудования для учреждений культуры, проведение капитального ремонта в ряде муниципальных школ, а также оснащение учебных кабинетов современными средствами обучения.</w:t>
      </w:r>
    </w:p>
    <w:p w14:paraId="1B41D2A7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территории города деятельность осуществляют 1 096 хозяйствующих субъектов в сфере промышленности.</w:t>
      </w:r>
    </w:p>
    <w:p w14:paraId="473B099D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Продолжена работа по формированию системной промышленной политики города, разработана концепция развития промышленности до 2030 года, сформирован паспорт производителей промышленной продукции, утвержден план мероприятий по развитию промышленного потенциала на 2026–2027 годы.</w:t>
      </w:r>
    </w:p>
    <w:p w14:paraId="3EECA7AC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Сельское хозяйство, несмотря на городской характер муниципалитета, также сохраняет значение для занятости населения, развития пригородных территорий и продовольственной устойчивости.</w:t>
      </w:r>
    </w:p>
    <w:p w14:paraId="17E950F2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предварительной оценке, объем произведенной сельскохозяйственной продукции составил 1,1 млрд рублей.</w:t>
      </w:r>
    </w:p>
    <w:p w14:paraId="6CD3171F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В 2025 году сельхозтоваропроизводителями города получены субсидии на сумму 13,5 млн рублей.</w:t>
      </w:r>
    </w:p>
    <w:p w14:paraId="792AFDD7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территории Махачкалы продолжают развиваться животноводство, личные подсобные и фермерские хозяйства, тепличное производство. Это направление остается важным для экономики пригородной зоны и занятости населения.</w:t>
      </w:r>
    </w:p>
    <w:p w14:paraId="01590B6F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инвестиционной сфере работа была направлена на сопровождение и оказание содействия в реализации перспективных проектов, улучшение делового климата и создание новых точек роста.</w:t>
      </w:r>
    </w:p>
    <w:p w14:paraId="50184B35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Администрацией города сформирован реестр инвестиционных и предпринимательских проектов, реализуемых на территории Махачкалы. В него включены 24 проекта с общим объемом инвестиций </w:t>
      </w:r>
      <w:r>
        <w:rPr>
          <w:rFonts w:ascii="Times New Roman" w:eastAsia="Times New Roman" w:hAnsi="Times New Roman"/>
          <w:b/>
          <w:bCs/>
          <w:sz w:val="28"/>
          <w:szCs w:val="28"/>
        </w:rPr>
        <w:t>305 млрд рублей, освоением 10 млрд рублей</w:t>
      </w:r>
      <w:r>
        <w:rPr>
          <w:rFonts w:ascii="Times New Roman" w:eastAsia="Times New Roman" w:hAnsi="Times New Roman"/>
          <w:sz w:val="28"/>
          <w:szCs w:val="28"/>
        </w:rPr>
        <w:t xml:space="preserve"> и созданием более 14,6 тысячи рабочих мест, из которых 1 153 рабочих места уже созданы.</w:t>
      </w:r>
    </w:p>
    <w:p w14:paraId="4F0A1EB3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Среди наиболее значимых проектов — строительство мультимодального логистического терминала «Сухой порт Махачкала»,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гостинично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>-курортного комплекса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Атлантис</w:t>
      </w:r>
      <w:proofErr w:type="spellEnd"/>
      <w:r>
        <w:rPr>
          <w:rFonts w:ascii="Times New Roman" w:eastAsia="Times New Roman" w:hAnsi="Times New Roman"/>
          <w:sz w:val="28"/>
          <w:szCs w:val="28"/>
        </w:rPr>
        <w:t>-Марина» и асфальтобетонного завода в поселке Шамхал.</w:t>
      </w:r>
    </w:p>
    <w:p w14:paraId="5248944A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 ряду из них уже обеспечено предоставление земельных участков, оформлены необходимые разрешительные документы, ведутся строительные и пусконаладочные работы.</w:t>
      </w:r>
    </w:p>
    <w:p w14:paraId="456DBDDD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Все это формирует базу для будущих налоговых поступлений, новых рабочих мест и дальнейшего расширения инвестиционной активности на территории города.</w:t>
      </w:r>
    </w:p>
    <w:p w14:paraId="1E199F1A" w14:textId="77777777" w:rsidR="00471616" w:rsidRDefault="00471616" w:rsidP="0047161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Расходы бюджета города в 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г. имели ярко выраженную социальную направленность. На социально значимые расходы, финансируемые за счет собственных доходов, направлено 5 721,7 млн рублей, что составляет 84,1 проц. от общего объема соответствующих расходов (6 802,5 млн рублей). (Это заработная плата, обеспечение питанием воспитанников детских садов, школ-интернатов, уплату налоговых платежей, реализацию мероприятий, направленных на обеспечение пожарной безопасности и антитеррористической защищенности в образовательных организациях, оказание материальной помощи военнослужащим-контрактникам и добровольцам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заключившим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и.др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.) </w:t>
      </w:r>
    </w:p>
    <w:p w14:paraId="57F97DCA" w14:textId="77777777" w:rsidR="00471616" w:rsidRDefault="00471616" w:rsidP="0047161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5B83F4" w14:textId="77777777" w:rsidR="00471616" w:rsidRDefault="00471616" w:rsidP="0047161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Погашение долгов.</w:t>
      </w:r>
    </w:p>
    <w:p w14:paraId="66E1EBC0" w14:textId="77777777" w:rsidR="00471616" w:rsidRDefault="00471616" w:rsidP="0047161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Следует отметить, что в 2025 году в полном объеме была финансово обеспечена потребность на погашение накопившейся за ряд лет задолженности за коммунальные услуги, в том числе за уличное освещение, в сумме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722,4 млн рублей.</w:t>
      </w:r>
    </w:p>
    <w:p w14:paraId="041E02DD" w14:textId="77777777" w:rsidR="00471616" w:rsidRDefault="00471616" w:rsidP="0047161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Выделено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236 млн рублей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погашение накопившейся задолженности предприятия МУП «Махачкалинское троллейбусное управление».</w:t>
      </w:r>
    </w:p>
    <w:p w14:paraId="0E609129" w14:textId="77777777" w:rsidR="00471616" w:rsidRDefault="00471616" w:rsidP="0047161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Выделены средств в сумме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80,8 млн рублей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погашение образовавшейся задолженности ликвидируемых внутригородских районов.</w:t>
      </w:r>
    </w:p>
    <w:p w14:paraId="29AD8034" w14:textId="77777777" w:rsidR="00471616" w:rsidRDefault="00471616" w:rsidP="0047161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исполнение судебных актов, в течение года выделено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155,1 млн рублей.  </w:t>
      </w:r>
    </w:p>
    <w:p w14:paraId="001C081C" w14:textId="77777777" w:rsidR="00471616" w:rsidRDefault="00471616" w:rsidP="0047161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того, за счет собственных доходов был погашен коммерческий кредит на сумму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178,0 млн рублей.</w:t>
      </w:r>
    </w:p>
    <w:p w14:paraId="4E6FDD02" w14:textId="77777777" w:rsidR="00471616" w:rsidRDefault="00471616" w:rsidP="0047161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_Hlk227780857"/>
      <w:r>
        <w:rPr>
          <w:rFonts w:ascii="Times New Roman" w:eastAsia="Times New Roman" w:hAnsi="Times New Roman"/>
          <w:sz w:val="28"/>
          <w:szCs w:val="28"/>
          <w:lang w:eastAsia="ru-RU"/>
        </w:rPr>
        <w:t>На реализацию национальных проектов перечислено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683,5 млн рублей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47E7078" w14:textId="77777777" w:rsidR="00471616" w:rsidRDefault="00471616" w:rsidP="0047161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Дорожного фонда составили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521,2 млн рублей.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bookmarkEnd w:id="4"/>
    <w:p w14:paraId="71AD6C2E" w14:textId="77777777" w:rsidR="00471616" w:rsidRDefault="00471616" w:rsidP="00471616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51C1095" w14:textId="77777777" w:rsidR="00471616" w:rsidRDefault="00471616" w:rsidP="0047161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Бюджет города на 2026 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остается социально ориентированным. </w:t>
      </w:r>
    </w:p>
    <w:p w14:paraId="40B4DEF3" w14:textId="77777777" w:rsidR="00471616" w:rsidRDefault="00471616" w:rsidP="0047161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Бюджетная политика города нацелена на обеспечение финансовой стабильности, сбалансированности параметров бюджета с учетом эффективного управления имеющимися ресурсами, безусловное исполнение всех взятых обязательств в социальной сфере и в экономике, а также на улучшение качества жизни населения города.</w:t>
      </w:r>
    </w:p>
    <w:p w14:paraId="75D9DA4E" w14:textId="77777777" w:rsidR="00471616" w:rsidRDefault="00471616" w:rsidP="0047161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Общий объем доходов бюджета города Махачкалы на 2026 год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определен в сумме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19 062,3 млн рублей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из них налоговые и неналоговые доходы составляют 7 703,4 млн рублей, безвозмездные поступления –11 358,9 млн рублей. </w:t>
      </w:r>
    </w:p>
    <w:p w14:paraId="4198CDDC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Вместе с тем мы понимаем, что значительная часть резервов дальнейшего увеличения доходного потенциала города сосредоточена именно в земельно-имущественной сфере.</w:t>
      </w:r>
    </w:p>
    <w:p w14:paraId="1E1E3D93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Именно поэтому работа по наведению порядка в учете объектов недвижимости, повышению эффективности использования земельных ресурсов, актуализации сведений и вовлечению имущества в экономический оборот будет продолжена на системной основе.</w:t>
      </w:r>
    </w:p>
    <w:p w14:paraId="092D0347" w14:textId="77777777" w:rsidR="00471616" w:rsidRDefault="00471616" w:rsidP="0047161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EE36A3A" w14:textId="77777777" w:rsidR="00471616" w:rsidRDefault="00471616" w:rsidP="00471616">
      <w:pPr>
        <w:keepNext/>
        <w:keepLines/>
        <w:spacing w:after="0" w:line="276" w:lineRule="auto"/>
        <w:ind w:firstLine="708"/>
        <w:outlineLvl w:val="0"/>
        <w:rPr>
          <w:rFonts w:eastAsia="MS Gothic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</w:rPr>
        <w:t>Земельно-имущественный комплекс</w:t>
      </w:r>
    </w:p>
    <w:p w14:paraId="156EE5BA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Сфера земельно-имущественного комплекса является ключевым резервом для укрепления доходной базы города, упорядочение использования территории и защиты имущественных интересов муниципалитета. Большая работа велась во исполнение указания Президента РФ о повышении капитализации территорий. </w:t>
      </w:r>
    </w:p>
    <w:p w14:paraId="5A6FBBF4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Махачкала начала эту работу опережающими темпами – с июня 2025 года. Опыт города отмечен на республиканском уровне: Махачкала приглашена спикером на стратегическую сессию Минимущества РД.</w:t>
      </w:r>
    </w:p>
    <w:p w14:paraId="0B8A6000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Масштаб этой задачи подтверждается самими данными ЕГРН. На территории города зарегистрировано 167 261 земельный участок и 270 534 объекта капитального строительства и помещений. </w:t>
      </w:r>
    </w:p>
    <w:p w14:paraId="5691AA1A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При этом официально, по данным ЕГРН, в коммерческих целях </w:t>
      </w: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 xml:space="preserve">(магазины, торговые центры, рестораны, кафе, банкетные залы и административно деловые центры и офисные здания.) 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используется лишь 3,4 процента земельных участков и 9 процентов объектов капитального строительства. Это наглядно показывает, 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>насколько велик разрыв между фактическим использованием коммерческой недвижимости и сведениями, отраженными в ЕГРН, а значит — насколько значителен резерв для дальнейшего роста доходного потенциала города.</w:t>
      </w:r>
    </w:p>
    <w:p w14:paraId="2D3799F0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</w:p>
    <w:p w14:paraId="491954A5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В рамках муниципального земельного контроля:</w:t>
      </w:r>
    </w:p>
    <w:p w14:paraId="6BD10A37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проведено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3341 выездное обследование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 (превышает показатели двух предыдущих лет); </w:t>
      </w:r>
    </w:p>
    <w:p w14:paraId="4D81DCBC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 выдано более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370 предписаний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об устранении нарушений.</w:t>
      </w:r>
    </w:p>
    <w:p w14:paraId="09FE02C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 приведён в соответствие вид разрешённого использования.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br/>
        <w:t>по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85 объектам.</w:t>
      </w:r>
    </w:p>
    <w:p w14:paraId="70BD1DAC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 Совокупная кадастровая стоимость отдельных объектов выросла с 354 млн рублей до более чем 1 млрд рублей.</w:t>
      </w:r>
    </w:p>
    <w:p w14:paraId="22285515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 xml:space="preserve">Примеры: </w:t>
      </w:r>
    </w:p>
    <w:p w14:paraId="0054DB61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Рынок «Кафельный» (11 170 кв. м): в результате приведения в соответствие общая кадастровая стоимость выросла с 5,6 до 63,1 млн руб. Земельный налог увеличился с 314 тыс. руб. до 1,17 млн руб.).</w:t>
      </w:r>
    </w:p>
    <w:p w14:paraId="5270B60F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Ресторан «Пицца ХА»: Кадастровая стоимость ЗУ выросла с 5,5 до 48,2 млн руб. Земельный налог увеличился с 16,5тыс.руб. до 723 тыс. рублей.</w:t>
      </w:r>
    </w:p>
    <w:p w14:paraId="49054287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F1115"/>
          <w:sz w:val="28"/>
          <w:szCs w:val="28"/>
          <w:lang w:eastAsia="ru-RU"/>
        </w:rPr>
        <w:t>Объекты, по которым продолжается работа</w:t>
      </w: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:                                                            - ТД «Мечта» (</w:t>
      </w:r>
      <w:proofErr w:type="spellStart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Ленинкент</w:t>
      </w:r>
      <w:proofErr w:type="spellEnd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), зарегистрирован в ЕГРН с видом разрешенного использования «Для ведения КФХ», текущая КС – 11,8 млн руб., после приведения в соответствие  увеличится до 80 млн рублей.</w:t>
      </w:r>
    </w:p>
    <w:p w14:paraId="69D61E8A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 xml:space="preserve">-БЗ «Экзотика», ВРИ земельного участка в ЕГРН «Под строениями и установленными бочками», текущая КС – 4,3 млн руб., после приведения в соответствие увеличится до 30,5 млн рублей.                                                      </w:t>
      </w:r>
    </w:p>
    <w:p w14:paraId="565E8ABE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 xml:space="preserve"> Помимо коммерческих объектов с нецелевым использованием мы выявили массив земель, которые по документам числятся в одной категории, а по факту — живут по другим градостроительным реалиям. </w:t>
      </w:r>
    </w:p>
    <w:p w14:paraId="03FD8979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 xml:space="preserve">Пример: два земельных участка, один с категорией «Земли сельхозназначения», второй- «Земли населенных пунктов» с одинаковым видом разрешенного использования, однако кадастровая стоимость у одного 3 руб. за 1кв.м., у второго 548 руб. за 1 </w:t>
      </w:r>
      <w:proofErr w:type="spellStart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.</w:t>
      </w:r>
    </w:p>
    <w:p w14:paraId="308F9065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После завершения мероприятий по определению границ населенного пункта город Махачкала» и приведения в соответствие их вида разрешенного использования фактическому, кадастровая стоимость таких участков увеличится до 250 раз.</w:t>
      </w:r>
    </w:p>
    <w:p w14:paraId="0EA33754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Выявлено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1 640 фактов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самовольного занятия земель общего пользования (капитальные и некапитальные строения). Материалы направлены для принятия мер.</w:t>
      </w:r>
    </w:p>
    <w:p w14:paraId="268E53AE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 xml:space="preserve">Так в отношении объектов капитального строительства составлены 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506 </w:t>
      </w:r>
      <w:r>
        <w:rPr>
          <w:rFonts w:ascii="Times New Roman" w:eastAsia="Times New Roman" w:hAnsi="Times New Roman"/>
          <w:b/>
          <w:color w:val="0F1115"/>
          <w:sz w:val="28"/>
          <w:szCs w:val="28"/>
          <w:lang w:eastAsia="ru-RU"/>
        </w:rPr>
        <w:t xml:space="preserve">актов 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выездной проверки. Передано на рассмотрение комиссии по сносу 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403 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актов. Решением комиссии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 253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объекта признаны незаконными из которых демонтированы 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240 </w:t>
      </w:r>
      <w:r>
        <w:rPr>
          <w:rFonts w:ascii="Times New Roman" w:eastAsia="Times New Roman" w:hAnsi="Times New Roman"/>
          <w:b/>
          <w:color w:val="0F1115"/>
          <w:sz w:val="28"/>
          <w:szCs w:val="28"/>
          <w:lang w:eastAsia="ru-RU"/>
        </w:rPr>
        <w:t xml:space="preserve">объекта.    </w:t>
      </w:r>
    </w:p>
    <w:p w14:paraId="3D2CFC99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F1115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Cs/>
          <w:i/>
          <w:iCs/>
          <w:color w:val="0F1115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 xml:space="preserve">ля сравнения: в 2024 году было снесено </w:t>
      </w:r>
      <w:r>
        <w:rPr>
          <w:rFonts w:ascii="Times New Roman" w:eastAsia="Times New Roman" w:hAnsi="Times New Roman"/>
          <w:b/>
          <w:bCs/>
          <w:i/>
          <w:iCs/>
          <w:color w:val="0F1115"/>
          <w:sz w:val="28"/>
          <w:szCs w:val="28"/>
          <w:lang w:eastAsia="ru-RU"/>
        </w:rPr>
        <w:t>80</w:t>
      </w: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 xml:space="preserve"> объектов, в 2023 году было снесено </w:t>
      </w:r>
      <w:r>
        <w:rPr>
          <w:rFonts w:ascii="Times New Roman" w:eastAsia="Times New Roman" w:hAnsi="Times New Roman"/>
          <w:b/>
          <w:bCs/>
          <w:i/>
          <w:iCs/>
          <w:color w:val="0F1115"/>
          <w:sz w:val="28"/>
          <w:szCs w:val="28"/>
          <w:lang w:eastAsia="ru-RU"/>
        </w:rPr>
        <w:t>93</w:t>
      </w: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 xml:space="preserve"> объекта)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         </w:t>
      </w:r>
    </w:p>
    <w:p w14:paraId="01E350E1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По решениям суда демонтировано 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34 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объектов капитального строительства </w:t>
      </w: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(для сравнения: в 2024 году было снесено</w:t>
      </w:r>
      <w:r>
        <w:rPr>
          <w:rFonts w:ascii="Times New Roman" w:eastAsia="Times New Roman" w:hAnsi="Times New Roman"/>
          <w:b/>
          <w:bCs/>
          <w:i/>
          <w:iCs/>
          <w:color w:val="0F1115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 xml:space="preserve"> объекта.)</w:t>
      </w:r>
    </w:p>
    <w:p w14:paraId="08A26C4F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Также составлено 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71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актов фактического состояния для последующего направления в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Гостройнадзор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Министерства строительства и ЖКХ РД в целях принятия мер по приостановке эксплуатации объектов в судебном порядке до получения разрешения на ввод объектов в эксплуатацию и регистрации в ЕГРН .</w:t>
      </w:r>
    </w:p>
    <w:p w14:paraId="5A21B864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      Произведен д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емонтаж 341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незаконных некапитальных объектов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в том числе: металлические гаражи (143), заборы и ворота (111), стелы АЗС (36), шлагбаумы, лестницы и генераторы.</w:t>
      </w:r>
    </w:p>
    <w:p w14:paraId="5AABACCF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Устранено 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1 072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нарушения правил благоустройства: ямы на дорогах (515), строительный мусор (309), неисправные люки (108), провода, дефекты тротуаров и фасадов.</w:t>
      </w:r>
    </w:p>
    <w:p w14:paraId="07115F9D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Составлено и направлено в комиссии 669 протоколов: на юрлиц – 555 (штрафы 6,47 млн руб.), на физлиц – 114 (штрафы 137 тыс. руб.). Общая сумма штрафов составила – 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6,607 млн руб.</w:t>
      </w:r>
    </w:p>
    <w:p w14:paraId="408DB86B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При обследовании одного объекта нередко выявляется комплекс нарушений (нецелевое использование, захват муниципальной земли, искажение характеристик), что приводит к многократному занижению кадастровой стоимости и потерям бюджета.</w:t>
      </w:r>
    </w:p>
    <w:p w14:paraId="17E8A50F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Большая работа велась по подготовке к государственной кадастровой оценке и исправлению реестровых ошибок</w:t>
      </w:r>
    </w:p>
    <w:p w14:paraId="5310EF2A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Завершено описание границ населённого пункта г. Махачкалы. Это позволит перевести ряд земель сельхозназначения в земли населённых пунктов, увеличив кадастровую стоимость с 266,4 млн руб. до 346 млн руб.</w:t>
      </w:r>
    </w:p>
    <w:p w14:paraId="4BB3F95F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С использованием муниципальной геоинформационной системы (МГИС) выявлено:</w:t>
      </w:r>
    </w:p>
    <w:p w14:paraId="5272868E" w14:textId="77777777" w:rsidR="00471616" w:rsidRDefault="00471616" w:rsidP="00471616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- 5461 земельный участок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с неверными адресными характеристиками или с адресами смежных муниципалитетов;</w:t>
      </w:r>
    </w:p>
    <w:p w14:paraId="0EA0D5A6" w14:textId="77777777" w:rsidR="00471616" w:rsidRDefault="00471616" w:rsidP="00471616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-   20 участков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с некорректными площадями.</w:t>
      </w:r>
    </w:p>
    <w:p w14:paraId="4B30EF89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Материалы направлены для исправления. Предварительный эффект: увеличение кадастровой стоимости примерно на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3 млрд рублей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, прирост налоговых поступлений – около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9 млн руб./год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.</w:t>
      </w:r>
    </w:p>
    <w:p w14:paraId="2F623762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>По объектам капитального строительства, используемым с нарушением характеристик, направлено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38 материалов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в Минстрой РД. Ведётся работа по привлечению к ответственности и подготовке исков.</w:t>
      </w:r>
    </w:p>
    <w:p w14:paraId="65F3718F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Одновременно с контрольной и исковой работой велась большая системная работа по разграничению муниципальной собственности и постановке на учет городских земель.</w:t>
      </w:r>
    </w:p>
    <w:p w14:paraId="47585550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Издано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861 распоряжение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об утверждении схем расположения участков. Общая площадь образованных участков –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820,6 га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br/>
        <w:t>Выдано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61 разрешение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на использование земли без предоставления.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br/>
        <w:t>Образовано и предоставлено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63 земельных участка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в поселке Шамхал для ИЖС участникам СВО и членам их семей. Передано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22 участка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в безвозмездное срочное пользование для строительства коммунальных, религиозных объектов и учреждений здравоохранения.</w:t>
      </w:r>
    </w:p>
    <w:p w14:paraId="22CDBA27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Обеспечены участки под социальные объекты:</w:t>
      </w:r>
    </w:p>
    <w:p w14:paraId="496B26B6" w14:textId="77777777" w:rsidR="00471616" w:rsidRDefault="00471616" w:rsidP="00471616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 школа в микрорайоне ДОСААФ;</w:t>
      </w:r>
    </w:p>
    <w:p w14:paraId="2EB8E4F7" w14:textId="77777777" w:rsidR="00471616" w:rsidRDefault="00471616" w:rsidP="00471616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- врачебная амбулатория в поселке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Богатыревка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;</w:t>
      </w:r>
    </w:p>
    <w:p w14:paraId="0634B133" w14:textId="77777777" w:rsidR="00471616" w:rsidRDefault="00471616" w:rsidP="00471616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- объекты водоснабжения в Новом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Хушете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, Шамхал-Термене, Красноармейском,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Богатыревке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;</w:t>
      </w:r>
    </w:p>
    <w:p w14:paraId="2E7EA05C" w14:textId="77777777" w:rsidR="00471616" w:rsidRDefault="00471616" w:rsidP="00471616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- подготовка к строительству школ в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Ленинкенте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, Новом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Хушете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, микрорайоне Ветеран;</w:t>
      </w:r>
    </w:p>
    <w:p w14:paraId="4ADAB10E" w14:textId="77777777" w:rsidR="00471616" w:rsidRDefault="00471616" w:rsidP="00471616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 подбор участка для МРЭО ГИБДД и для Центра временного содержания иностранных граждан МВД.</w:t>
      </w:r>
    </w:p>
    <w:p w14:paraId="42C73270" w14:textId="77777777" w:rsidR="00471616" w:rsidRDefault="00471616" w:rsidP="004716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Важным результатом стало и проведение комплексных кадастровых работ.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</w:t>
      </w:r>
    </w:p>
    <w:p w14:paraId="6EE6D00C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Управление Росреестра направлено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28 </w:t>
      </w:r>
      <w:proofErr w:type="spellStart"/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картапланов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на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108 тысяч объектов недвижимости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. </w:t>
      </w:r>
    </w:p>
    <w:p w14:paraId="27C842A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Обеспечены образование и постановка на кадастровый учёт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25 земельных участков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 (4,9 га) в рамках освобождения земель от незаконных некапитальных строений. </w:t>
      </w:r>
    </w:p>
    <w:p w14:paraId="48B13ECE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Выполнены картографические и инвентаризационные работы по руслу реки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Тарнаирка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, реке Черкес-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Озень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, каналу К4,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ливнеканализационному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каналу, озеру Ак-Гель.</w:t>
      </w:r>
    </w:p>
    <w:p w14:paraId="52C34BA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постоянной основе проводятся мероприятия по возврату в муниципальную собственность самовольно занятых и незаконно оформленных земельных участков. </w:t>
      </w:r>
    </w:p>
    <w:p w14:paraId="29398E2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С июля 2025 года подано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323 иска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о признании отсутствующим права собственности на участки общей площадью более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200 га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(2 млн кв. м).</w:t>
      </w:r>
    </w:p>
    <w:p w14:paraId="200F0ACB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По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155 искам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уже вынесены решения суда об удовлетворении. Возвращено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911 тыс. кв. м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земли с общей кадастровой стоимостью более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1,7 млрд руб.</w:t>
      </w:r>
    </w:p>
    <w:p w14:paraId="7C1DD00E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 xml:space="preserve">Примеры: возвращены участки по ул.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Хуршилова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Лаптиева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(обустроены как территории общего пользования), придомовая территория и детская площадка по ул. Чайковского, 21.</w:t>
      </w:r>
    </w:p>
    <w:p w14:paraId="1EC39FC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правоохранительные органы направлено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12 материалов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с признаками незаконного образования участков с использованием подложных документов. Выявлено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11,5 га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таких земель (включая участки 1 га, 1,2 га, 4,3 га, 5 га).</w:t>
      </w:r>
    </w:p>
    <w:p w14:paraId="51D53DFA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Отдельным блоком велась работа по распоряжению муниципальным имуществом.</w:t>
      </w:r>
    </w:p>
    <w:p w14:paraId="7CB791DC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Обеспечена регистрация права собственности города на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74 жилые квартиры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. Оформлены договоры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соцнайма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, ведётся взыскание задолженности. В принудительном порядке освобождено муниципальное имущество кафе-клуба «Белый дом» в парке им. Ленинского Комсомола, завершена регистрация права собственности на этот объект.</w:t>
      </w: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14:paraId="2963904C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Из федеральной собственности принято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125 квартир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. Совместно с правоохранительными органами освобождены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154 муниципальные квартиры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от незаконного проживания третьих лиц.</w:t>
      </w:r>
    </w:p>
    <w:p w14:paraId="6BA37252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Продолжена работа с бесхозяйным и выморочным имуществом. Выявлено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77 объектов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с признаками бесхозяйных (в т.ч. 73 объекта газоснабжения). Поставлены на кадастровый учёт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222 бесхозяйных объекта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водоснабжения и водоотведения.</w:t>
      </w:r>
    </w:p>
    <w:p w14:paraId="7865B54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Завершено обследование гидротехнического сооружения Вузовского водохранилища, проведена работа по выявлению объектов культурного наследия регионального значения.</w:t>
      </w:r>
    </w:p>
    <w:p w14:paraId="70E7C6BE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Важной задачей оставалась и оптимизация муниципальных предприятий. Завершена ликвидация ряда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МУПов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: (</w:t>
      </w:r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Тарнаирские</w:t>
      </w:r>
      <w:proofErr w:type="spellEnd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 xml:space="preserve"> очистные сооружения воды г. Махачкалы»; МУП «</w:t>
      </w:r>
      <w:proofErr w:type="spellStart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Махачкаластандарт</w:t>
      </w:r>
      <w:proofErr w:type="spellEnd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», МУП «</w:t>
      </w:r>
      <w:proofErr w:type="spellStart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Дагтехкадастр</w:t>
      </w:r>
      <w:proofErr w:type="spellEnd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», МУП «</w:t>
      </w:r>
      <w:proofErr w:type="spellStart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>Винсовхоз</w:t>
      </w:r>
      <w:proofErr w:type="spellEnd"/>
      <w:r>
        <w:rPr>
          <w:rFonts w:ascii="Times New Roman" w:eastAsia="Times New Roman" w:hAnsi="Times New Roman"/>
          <w:i/>
          <w:iCs/>
          <w:color w:val="0F1115"/>
          <w:sz w:val="28"/>
          <w:szCs w:val="28"/>
          <w:lang w:eastAsia="ru-RU"/>
        </w:rPr>
        <w:t xml:space="preserve"> им. Ленина», МУП «ЖЭУ № 15» и МУП «МКГБ»)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, МУП «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Горавтотранс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» преобразован в МАУ «М-Транс».</w:t>
      </w:r>
    </w:p>
    <w:p w14:paraId="06C06D8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По ряду других предприятий ликвидационная работа продолжается.</w:t>
      </w:r>
    </w:p>
    <w:p w14:paraId="1F3662F5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рамках оказания муниципальных услуг населению издано:</w:t>
      </w:r>
    </w:p>
    <w:p w14:paraId="047F0A1A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 561 постановление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о предоставлении участков в собственность;</w:t>
      </w:r>
    </w:p>
    <w:p w14:paraId="18B34AA9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 заключено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101 соглашение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о перераспределении участков на сумму более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34,5 млн руб.</w:t>
      </w:r>
    </w:p>
    <w:p w14:paraId="3143E640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 издано </w:t>
      </w: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974 распоряжения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 об утверждении схем расположения участков.</w:t>
      </w:r>
    </w:p>
    <w:p w14:paraId="14E4E937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Подводя итоги работы в земельно-имущественной сфере, можно сказать, что удалось перейти от точечных решений к системной работе и эта работа будет последовательно продолжена. </w:t>
      </w:r>
    </w:p>
    <w:p w14:paraId="2CD38CCB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этом секторе находится ключевой резерв финансовой устойчивости и пространственного развития Махачкалы.</w:t>
      </w:r>
    </w:p>
    <w:p w14:paraId="4ACD08DC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На текущий год планируется:</w:t>
      </w:r>
    </w:p>
    <w:p w14:paraId="36D9B3D8" w14:textId="77777777" w:rsidR="00471616" w:rsidRDefault="00471616" w:rsidP="0047161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>- продолжение работы по каждому крупному коммерческому объекту, с приведением характеристик в ЕГРН в соответствие с фактическим использованием;</w:t>
      </w:r>
    </w:p>
    <w:p w14:paraId="58D529BA" w14:textId="77777777" w:rsidR="00471616" w:rsidRDefault="00471616" w:rsidP="0047161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-  активное участие в работе, по кадастровой оценке, земельных участков, предоставив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Дагтехкадастру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актуальные данные обо всех объектах с нарушениями;</w:t>
      </w:r>
    </w:p>
    <w:p w14:paraId="04AEB09F" w14:textId="77777777" w:rsidR="00471616" w:rsidRDefault="00471616" w:rsidP="0047161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 образование и предоставление земельных участков участникам СВО и членам их семей;</w:t>
      </w:r>
    </w:p>
    <w:p w14:paraId="3CBA7464" w14:textId="77777777" w:rsidR="00471616" w:rsidRDefault="00471616" w:rsidP="0047161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- уточнение и исправление границ муниципального образования (включая смежные территории с Каспийском и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Кумторкалинским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районом);</w:t>
      </w:r>
    </w:p>
    <w:p w14:paraId="580FF5BF" w14:textId="77777777" w:rsidR="00471616" w:rsidRDefault="00471616" w:rsidP="0047161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 проведение комплексных кадастровых работ на территории 16 кварталов города;</w:t>
      </w:r>
    </w:p>
    <w:p w14:paraId="77537CEC" w14:textId="77777777" w:rsidR="00471616" w:rsidRDefault="00471616" w:rsidP="0047161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 возврат земель в муниципальную собственность;</w:t>
      </w:r>
    </w:p>
    <w:p w14:paraId="58EC5016" w14:textId="77777777" w:rsidR="00471616" w:rsidRDefault="00471616" w:rsidP="0047161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- оформление и постановка на учёт новых бесхозяйных объектов газоснабжения, объектов культурного наследия и иных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муниципально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-значимых объектов.</w:t>
      </w:r>
    </w:p>
    <w:p w14:paraId="7CC93AA0" w14:textId="77777777" w:rsidR="00471616" w:rsidRDefault="00471616" w:rsidP="00471616">
      <w:pPr>
        <w:shd w:val="clear" w:color="auto" w:fill="FFFFFF"/>
        <w:suppressAutoHyphens/>
        <w:spacing w:after="0" w:line="276" w:lineRule="auto"/>
        <w:ind w:firstLine="708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Эффект от этой работы мы должны увидеть в росте доходов бюджета для решения социально-экономических задач города уже в ближайшей перспективе!</w:t>
      </w:r>
    </w:p>
    <w:p w14:paraId="4EDAF5C6" w14:textId="77777777" w:rsidR="00471616" w:rsidRDefault="00471616" w:rsidP="00471616">
      <w:pPr>
        <w:shd w:val="clear" w:color="auto" w:fill="FFFFFF"/>
        <w:suppressAutoHyphens/>
        <w:spacing w:after="0" w:line="276" w:lineRule="auto"/>
        <w:ind w:firstLine="708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</w:p>
    <w:p w14:paraId="41138B44" w14:textId="77777777" w:rsidR="00471616" w:rsidRDefault="00471616" w:rsidP="00471616">
      <w:pPr>
        <w:shd w:val="clear" w:color="auto" w:fill="FFFFFF"/>
        <w:suppressAutoHyphens/>
        <w:spacing w:after="0" w:line="276" w:lineRule="auto"/>
        <w:ind w:firstLine="708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Архитектура и градостроительство</w:t>
      </w:r>
    </w:p>
    <w:p w14:paraId="25D27D7B" w14:textId="77777777" w:rsidR="00471616" w:rsidRDefault="00471616" w:rsidP="00471616">
      <w:pPr>
        <w:shd w:val="clear" w:color="auto" w:fill="FFFFFF"/>
        <w:suppressAutoHyphens/>
        <w:spacing w:after="0" w:line="276" w:lineRule="auto"/>
        <w:ind w:firstLine="708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</w:p>
    <w:p w14:paraId="17249FFE" w14:textId="77777777" w:rsidR="00471616" w:rsidRDefault="00471616" w:rsidP="00471616">
      <w:pPr>
        <w:shd w:val="clear" w:color="auto" w:fill="FFFFFF"/>
        <w:suppressAutoHyphens/>
        <w:spacing w:after="0" w:line="276" w:lineRule="auto"/>
        <w:ind w:firstLine="708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2025 году город получил новый вектор развития. Приняты изменения в генеральный план и новые Правила землепользования и застройки. Ключевые положения: строительство многоквартирных домов допускается только в рамках комплексного развития территорий (КРТ) либо после утверждения документации по планировке. Изменение вида разрешённого использования на многоквартирную застройку не допускается до принятия решения о КРТ. В центральной и исторической частях города установлен предельный параметр этажности – не более 5 надземных этажей. Введены требования к архитектурно-градостроительному облику, разрабатываются местные нормативы градостроительного проектирования.</w:t>
      </w:r>
    </w:p>
    <w:p w14:paraId="731A919C" w14:textId="77777777" w:rsidR="00471616" w:rsidRDefault="00471616" w:rsidP="00471616">
      <w:pPr>
        <w:shd w:val="clear" w:color="auto" w:fill="FFFFFF"/>
        <w:suppressAutoHyphens/>
        <w:spacing w:after="0" w:line="276" w:lineRule="auto"/>
        <w:ind w:firstLine="708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августе 2025 года заключён первый договор КРТ. На сегодня по инициативе правообладателей заключено 11 договоров КРТ. Застройщики обязаны передать в муниципальную собственность 22 000 кв. м жилья, земельные участки для соц. объектов общей площадью 76 000 кв. м, 950 кв. м нежилых помещений.</w:t>
      </w:r>
    </w:p>
    <w:p w14:paraId="5D5112AB" w14:textId="77777777" w:rsidR="00471616" w:rsidRDefault="00471616" w:rsidP="00471616">
      <w:pPr>
        <w:shd w:val="clear" w:color="auto" w:fill="FFFFFF"/>
        <w:suppressAutoHyphens/>
        <w:spacing w:after="0" w:line="276" w:lineRule="auto"/>
        <w:ind w:firstLine="708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Принято первое в истории города решение о КРТ муниципальной территории площадью около 900 гектаров между посёлком Шамхал и селом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Богатырёвка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.</w:t>
      </w:r>
    </w:p>
    <w:p w14:paraId="0A4613D9" w14:textId="77777777" w:rsidR="00471616" w:rsidRDefault="00471616" w:rsidP="00471616">
      <w:pPr>
        <w:shd w:val="clear" w:color="auto" w:fill="FFFFFF"/>
        <w:spacing w:before="480" w:after="240" w:line="276" w:lineRule="auto"/>
        <w:ind w:firstLine="709"/>
        <w:jc w:val="both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Торговля и реклама: наведение порядка</w:t>
      </w:r>
    </w:p>
    <w:p w14:paraId="3D742A9F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2025 году мы провели масштабную работу по актуализации схемы размещения рекламных конструкций и организовали открытый прозрачный аукцион. Результатом стало заключение долгосрочных договоров и поступление 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>авансовых платежей на сумму свыше 281 млн рублей. Общий ежегодный потенциал доходов от размещения рекламы мы оцениваем более чем в 110 млн рублей.</w:t>
      </w:r>
    </w:p>
    <w:p w14:paraId="2C93F7D8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2025 году была проведена тотальная зачистка от незаконной рекламы: демонтировано 7 000 незаконных рекламных конструкций и информационных носителей, а с поверхностей зданий удалено более 9 500 квадратных метров старых объявлений и декоративной пленки, фасады МКД очищены от габаритных рекламных баннеров (демонтировано 325 баннеров).</w:t>
      </w:r>
    </w:p>
    <w:p w14:paraId="4397EA64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Одно из самых ресурсоёмких направлений – наведение правопорядка и легализация торговой деятельности. В отчётном году проведена беспрецедентная работа по приведению городского пространства в порядок. В принудительном порядке демонтирован 317 самовольно установленных нестационарных торговых объектов, которые годами занимали тротуары, дворы и проезды. Нашими инспекторами совместно с правоохранительными органами пресечено более 1 520 фактов стихийной уличной торговли.</w:t>
      </w:r>
    </w:p>
    <w:p w14:paraId="3607DEC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Для поддержки местных товаропроизводителей и обеспечения населения качественными продуктами по справедливым ценам в 2025 году организовано и проведено 38 торговых и сельскохозяйственных ярмарок. Особенно показательной стала крупная ярмарка на улице Пушкина, собравшая более 250 производителей. Кроме того, мы утвердили и обустроили 12 придомовых площадок для мобильной торговли сельхозпродукцией.</w:t>
      </w:r>
    </w:p>
    <w:p w14:paraId="66F9AFE9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Начатая в этом направлении работа будет продолжена и в текущем году.</w:t>
      </w:r>
      <w:bookmarkEnd w:id="1"/>
      <w:bookmarkEnd w:id="2"/>
    </w:p>
    <w:p w14:paraId="13DE6C04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</w:p>
    <w:p w14:paraId="4EDF1F4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Транспортное обслуживание населения</w:t>
      </w:r>
    </w:p>
    <w:p w14:paraId="60BFA894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</w:p>
    <w:p w14:paraId="33B3220A" w14:textId="0792E7DF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конце прошлого года в рамках программы «Обновление общественного транспорта» нацпроекта «Инфраструктура для жизни» город получил 84 новых пассажирских автобуса (11 большого, 57 среднего и 16 малого класса). Все автобусы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низкопольные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, работают на метане, оснащены безналичной оплатой, ГЛОНАСС, камерами, табло,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Wi-Fi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, заряд</w:t>
      </w:r>
      <w:r w:rsidR="00311091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ными устройствами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. С 1 января 2026 года они вышли на 10 регулярных маршрутах, в первую очередь в пригородные посёлки (ДОСААФ, ГРС, Новый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Хушет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, Красноармейск,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Богатырёвка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, Сулак, Кривая Балка,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Турали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). Жалобы на работу транспорта на этих направлениях практически прекратились.</w:t>
      </w:r>
    </w:p>
    <w:p w14:paraId="7A2D9F2A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связи с неэффективностью работы и отсутствием подвижного состава принято решение о ликвидации МУП «МТУ». Это позволило оплатить задолженность предприятия в размере свыше 260 млн рублей и сохранить имущество в казне города. МУП «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Горавтотранс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» преобразовано в МАУ «М-Транс», которое приобрело 45 единиц нового подвижного состава.</w:t>
      </w:r>
    </w:p>
    <w:p w14:paraId="433FFDAD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>В планах администрации – обновление транспорта ещё на 10 маршрутах, приобретение 36 автобусов большого и 105 среднего класса. Для популяризации безналичной оплаты обеспечено размещение QR-кодов в 565 транспортных средствах со скидкой 10 рублей. За время акции с 1 октября по 31 декабря 2025 года данным способом оплаты воспользовались 420 271 человек.</w:t>
      </w:r>
    </w:p>
    <w:p w14:paraId="08F3B39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Проведены конкурсные процедуры по обустройству 54 остановочных пунктов в рамках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муниципально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-частного партнёрства (второй квартал 2026 года). Начаты работы по внедрению выделенных полос для общественного транспорта. Обустроена выделенная полоса по пр. И. Шамиля (1 300 м) и заездные карманы на пр.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Акушинского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, Шамиля, Петра I, Султана.</w:t>
      </w:r>
    </w:p>
    <w:p w14:paraId="083D3DE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Усилен контроль за работой транспорта и парковкой. Проведено свыше 700 проверок, эвакуировано свыше 3 тыс. транспортных средств (в том числе более 200 брошенных). Транспортным компаниям выставлены штрафные санкции, что дало экономию бюджета около 6 млн рублей.</w:t>
      </w:r>
    </w:p>
    <w:p w14:paraId="307BF061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рамках концессионного соглашения расширено платное парковочное пространство до 2 800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машино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-мест на наиболее загруженных участках. Впервые в бюджете заложены средства на обслуживание интеллектуальной транспортной системы (28 млн рублей). </w:t>
      </w:r>
    </w:p>
    <w:p w14:paraId="1DC17495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рамках внедрения 5-го этапа интеллектуальной транспортной системы г. Махачкалы проведена работа по замене 14 светофорных объектов и монтажу обзорных камер и детекторов учета транспортных потоков (11 на пр. И. Шамиля и 3 на пр. Х.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Булача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).</w:t>
      </w:r>
    </w:p>
    <w:p w14:paraId="21A24C9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Отрегулирована работа светофорных объектов по пр. Петра I, Гамзатова, ул.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Булача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, Коркмасова,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Ярагского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и в районе троллейбусного кольца, что увеличило пропускную способность на 15%.</w:t>
      </w:r>
    </w:p>
    <w:p w14:paraId="6A60721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Количество ДТП с пострадавшими снизилось на 7% (с 313 до 291), число раненых – на 17,4% (с 453 до 374). Однако отмечен рост числа погибших на 16% (с 25 до 29), что требует усиления мер безопасности.</w:t>
      </w:r>
    </w:p>
    <w:p w14:paraId="11053878" w14:textId="77777777" w:rsidR="00471616" w:rsidRDefault="00471616" w:rsidP="00471616">
      <w:pPr>
        <w:shd w:val="clear" w:color="auto" w:fill="FFFFFF"/>
        <w:spacing w:before="480" w:after="240" w:line="276" w:lineRule="auto"/>
        <w:ind w:firstLine="709"/>
        <w:jc w:val="both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Благоустройство и жилищно-коммунальное хозяйство</w:t>
      </w:r>
    </w:p>
    <w:p w14:paraId="105406D9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рамках федеральной программы «Формирование комфортной городской среды» </w:t>
      </w:r>
      <w:r>
        <w:rPr>
          <w:rFonts w:ascii="Times New Roman" w:eastAsia="Times New Roman" w:hAnsi="Times New Roman"/>
          <w:color w:val="0F1115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2025 году благоустроено 17 территорий (13 дворовых и 4 общественных). Объём финансирования – 226,2 млн рублей, освоение 100%. В текущем году планируется благоустройство 17 территорий (11 дворовых и 6 общественных) на 220,9 млн рублей.</w:t>
      </w:r>
    </w:p>
    <w:p w14:paraId="02976F9A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По нацпроекту «Безопасные качественные дороги» предоставлены субсидии на ремонт дорог местного значения в размере 401,4 млн рублей (из них 397,4 млн – из бюджета РД, 3,97 млн – из местного). Выполнены работы на 31 объекте (30 – 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>ремонт, 1 – капремонт) общей протяжённостью 15,53 км. На конец года работы были полностью завершены.</w:t>
      </w:r>
    </w:p>
    <w:p w14:paraId="06A12657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Восстановлено в рабочее состояние 15 фонтанов, разработаны планы капремонта ещё 5 фонтанов.</w:t>
      </w:r>
    </w:p>
    <w:p w14:paraId="6F487E58" w14:textId="36C64959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Завершены работы по обустройству некапитального строения туристического центра по ул.</w:t>
      </w:r>
      <w:r w:rsidR="00311091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Ярагского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, 8. Благоустроена территория школы №28, установлен памятник герою России Исмаилову Абдулхакиму. Установлен памятник погибшим при взрыве на АЗС в районе Караман-2 с благоустройством прилегающей территории. Оказано содействие в установке памятника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Джелал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эд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-Дину Коркмасову на Университетской площади.</w:t>
      </w:r>
    </w:p>
    <w:p w14:paraId="4B23E348" w14:textId="77777777" w:rsidR="00471616" w:rsidRDefault="00471616" w:rsidP="00471616">
      <w:pPr>
        <w:shd w:val="clear" w:color="auto" w:fill="FFFFFF"/>
        <w:spacing w:before="480" w:after="240" w:line="276" w:lineRule="auto"/>
        <w:ind w:firstLine="709"/>
        <w:jc w:val="both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Инженерные коммуникации</w:t>
      </w:r>
    </w:p>
    <w:p w14:paraId="3AD30C4F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целях исключения подтоплений в 2025 году проведена расчистка дренажной канавы по ул.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Талгинская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(750 м) вблизи реки Черкес-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Озень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, дноуглубление и расчистка русла реки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Тарнаирка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(около 2,5 км), демонтированы плиты перекрытия в районе ул.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Каммаева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(более 100 м). Выполнены работы по обустройству наружного освещения по улицам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Даганова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Устарбекова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и Примакова.</w:t>
      </w:r>
    </w:p>
    <w:p w14:paraId="4D8C13A8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текущем году проведены работы по расчистке русла реки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Тарнаирка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общей протяженностью 281 метром по следующим локациям:</w:t>
      </w:r>
    </w:p>
    <w:p w14:paraId="11DAEF8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 ул. Пилотная и ул. Гранитная, протяжённостью 126 метров;</w:t>
      </w:r>
    </w:p>
    <w:p w14:paraId="172392D7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 ул. Невесомая, протяжённостью 85 метров;</w:t>
      </w:r>
    </w:p>
    <w:p w14:paraId="4AC50D8F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- ул. 2-й тупик 1-й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Патриотной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улицы, протяжённостью 70 метров.</w:t>
      </w:r>
    </w:p>
    <w:p w14:paraId="04A5FD6C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Также выполнены работы по дноуглублению, по расчистке русла реки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Тарнаирка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и реки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Талгинка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от зарослей ила и иного мусора более 2 км. В МКР «Ипподром» по ул.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Гамзатбекова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проведена работа по расчистке дренажной канавы протяжённостью около 250 м.</w:t>
      </w:r>
    </w:p>
    <w:p w14:paraId="6EF7BCDF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</w:p>
    <w:p w14:paraId="3115B06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Бродячие животные</w:t>
      </w:r>
    </w:p>
    <w:p w14:paraId="281CF66C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18"/>
          <w:szCs w:val="18"/>
          <w:lang w:eastAsia="ru-RU"/>
        </w:rPr>
      </w:pPr>
    </w:p>
    <w:p w14:paraId="7A265E01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Службой по работе с бродячими животными отловлено 456 особей собак, которые были подвергнуты соответствующим процедурам и затем выпущены. Из республиканского бюджета на эти цели выделено 3,839 млн рублей.</w:t>
      </w:r>
    </w:p>
    <w:p w14:paraId="2CF14539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Также отловлено 78 лошадей и 87 голов КРС, животные возвращены владельцам после уплаты штрафов на общую сумму 426 тыс. рублей.</w:t>
      </w:r>
    </w:p>
    <w:p w14:paraId="3EF97519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</w:p>
    <w:p w14:paraId="030E0E50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Озеленение</w:t>
      </w:r>
    </w:p>
    <w:p w14:paraId="4D47B874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18"/>
          <w:szCs w:val="18"/>
          <w:lang w:eastAsia="ru-RU"/>
        </w:rPr>
      </w:pPr>
    </w:p>
    <w:p w14:paraId="537C061F" w14:textId="77777777" w:rsidR="00471616" w:rsidRDefault="00471616" w:rsidP="004716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Проводилась ежедневная санитарная уборка парков, скверов и аллей. Озеленение, уход за малыми архитектурными формами. </w:t>
      </w:r>
    </w:p>
    <w:p w14:paraId="5803A4C8" w14:textId="77777777" w:rsidR="00471616" w:rsidRDefault="00471616" w:rsidP="004716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>Рассмотрено более 300 обращений на вырубку сухих и аварийных деревьев, из которых срублено 154 аварийных дерева.</w:t>
      </w:r>
    </w:p>
    <w:p w14:paraId="1ED57E7A" w14:textId="77777777" w:rsidR="00471616" w:rsidRDefault="00471616" w:rsidP="004716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В осенний посадочный сезон посажено более 1 150 лиственных и хвойных деревьев, более 7 800 кустарников. </w:t>
      </w:r>
    </w:p>
    <w:p w14:paraId="7F61BE6C" w14:textId="77777777" w:rsidR="00471616" w:rsidRDefault="00471616" w:rsidP="004716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Весенне- летний период высажены цветы- 156 372 шт. </w:t>
      </w:r>
    </w:p>
    <w:p w14:paraId="63D32699" w14:textId="77777777" w:rsidR="00471616" w:rsidRDefault="00471616" w:rsidP="0047161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2025 году демонтировано 124 нестационарных торговых объекта в парках.</w:t>
      </w:r>
    </w:p>
    <w:p w14:paraId="367CB50B" w14:textId="77777777" w:rsidR="00471616" w:rsidRDefault="00471616" w:rsidP="00471616">
      <w:pPr>
        <w:shd w:val="clear" w:color="auto" w:fill="FFFFFF"/>
        <w:spacing w:before="480" w:after="240" w:line="276" w:lineRule="auto"/>
        <w:ind w:firstLine="709"/>
        <w:jc w:val="both"/>
        <w:outlineLvl w:val="2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Обращение с ТКО</w:t>
      </w:r>
    </w:p>
    <w:p w14:paraId="693A2B54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По состоянию на конец 2025 года контейнерный парк составлял 6 012 контейнеров объёмом 0,75 м³. В 2025 году приобретены 1 400 контейнеров 0,75 м³ и 50 контейнеров 8 м³. Заключены контракты на поставку 60 модульных контейнерных площадок. </w:t>
      </w:r>
    </w:p>
    <w:p w14:paraId="779D2887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Определены 128 новых локаций для площадок, 109 одобрены и внесены в ФГИС УТКО(Федеральная государственная информационная система учета твердых коммунальных отходов). На кадастровый учёт поставлено 915 площадок, в работе ещё 237. По итогам проведённых работ количество контейнерных площадок, поставленных на кадастровый учет, составит 1152.</w:t>
      </w:r>
    </w:p>
    <w:p w14:paraId="6328BC4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Дополнительно получена 31 единица новой мусороуборочной техники.  </w:t>
      </w:r>
    </w:p>
    <w:p w14:paraId="2CCBC5BD" w14:textId="77777777" w:rsidR="00471616" w:rsidRDefault="00471616" w:rsidP="00471616">
      <w:pPr>
        <w:shd w:val="clear" w:color="auto" w:fill="FFFFFF"/>
        <w:spacing w:before="480" w:after="240" w:line="276" w:lineRule="auto"/>
        <w:ind w:firstLine="709"/>
        <w:jc w:val="both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Образование</w:t>
      </w:r>
    </w:p>
    <w:p w14:paraId="206DA440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Муниципальная система образования охватывает более 130 тысяч детей. Функционирует 81 дошкольное учреждение (23 053 ребёнка). По системе АИС «Электронный детский сад» зачислено 8 482 ребёнка, из них 534 – дети участников СВО. В 42 детсадах работают 85 логопедических групп (1 359 детей).</w:t>
      </w:r>
    </w:p>
    <w:p w14:paraId="2942F4C2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Также в городе функционируют 73 общеобразовательные организации (113 412 учащихся). Прирост за год – более 2,5 тыс., за три года – порядка 15 тыс.</w:t>
      </w:r>
    </w:p>
    <w:p w14:paraId="08B47139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1 сентября 2025 года введена в эксплуатацию новая школа в посёлке Шамхал на 604 места (СОШ №49). Продолжается строительство 4 школ: в п.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Ленинкент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(85% готовности), Новом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Хушете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(89%), микрорайоне Ветеран (91%), в МКР ДОСААФ (5%). </w:t>
      </w:r>
    </w:p>
    <w:p w14:paraId="0D685AC5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8 муниципальных школ получили школьный транспорт. </w:t>
      </w:r>
    </w:p>
    <w:p w14:paraId="776F00D8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Горячим питанием обеспечены 46 329 учащихся 1–4 классов, 4 266 школьников 5–11 классов из льготных категорий (семьи участников СВО, малоимущие, дети с ограниченными возможностями здоровья) и более 23 тысяч воспитанников детсадов.</w:t>
      </w:r>
    </w:p>
    <w:p w14:paraId="78805108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По итогам ЕГЭ доля успешно сдавших выпускников выросла до 98% (снизилось число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несдавших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с 3% до 2%). Доля набравших более 80 баллов – 15,4% 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>(413 учащихся). 17 выпускников получили 100 баллов. 321 выпускник награждён золотой медалью, 220 – серебряной.</w:t>
      </w:r>
    </w:p>
    <w:p w14:paraId="6DB195C4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городе ведётся системная и масштабная работа по патриотическому воспитанию молодёжи. Проводились мероприятия и реализовывались проекты с большим охватам детей, это и «Зарница 2.0», проекты «Движение Первых», «Билет в будущее», «Пушкинская карта» и многие другие.</w:t>
      </w:r>
    </w:p>
    <w:p w14:paraId="50CB75C4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Педагоги и учащиеся школ города ежегодно показывают высокие результаты в профессиональных конкурсах, во всероссийских олимпиадах школьников и международном форуме «Шаг в будущее».</w:t>
      </w:r>
    </w:p>
    <w:p w14:paraId="2871B9E5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11 лагерях с дневным пребыванием оздоровлением было охвачено 1020 детей (7–15 лет): 48 из неполных семей, 132 из малоимущих, 129 из многодетных малоимущих, 86 находящиеся в трудной жизненной ситуации, 40 с ограниченными возможностями здоровья.</w:t>
      </w:r>
    </w:p>
    <w:p w14:paraId="2DF549EE" w14:textId="77777777" w:rsidR="00471616" w:rsidRDefault="00471616" w:rsidP="00471616">
      <w:pPr>
        <w:shd w:val="clear" w:color="auto" w:fill="FFFFFF"/>
        <w:spacing w:before="480" w:after="240" w:line="276" w:lineRule="auto"/>
        <w:ind w:firstLine="709"/>
        <w:jc w:val="both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Жилищный контроль и капитальный ремонт</w:t>
      </w:r>
    </w:p>
    <w:p w14:paraId="3621EABB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2025 году по вопросам управления многоквартирным жилищным фондом поступило более 1 503 обращений, 786 заявок из ЕДДС и 638 из ЦУГ. В рамках подготовки к осенне-зимнему периоду обеспечена готовность 2 363 многоквартирных домов. Выявлено 140 фактов самовольной перепланировки.</w:t>
      </w:r>
    </w:p>
    <w:p w14:paraId="4E36D569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Капитальным ремонтом охвачены 86 МКД на сумму 695,8 млн рублей: отремонтированы крыши (34), фасады (20), системы электроснабжения (22), теплоснабжения (23), водоснабжения (24), водоотведения (18), подвалы (9), заменены 42 лифта в 20 домах.</w:t>
      </w:r>
    </w:p>
    <w:p w14:paraId="28A5EFF1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рамках исполнения требований Федерального закона № 218 от 13.07.2015 года «О государственной регистрации недвижимости» (с учетом ФЗ №518 от 30.12.2020 г. «О внесении изменений…») проводится работа в части установления сведений о правообладателях ранее учтенных объектов недвижимости, в том числе по представленной Дагестанским фондом капитального ремонта информации об отсутствующих правообладателях 10348 помещений.</w:t>
      </w:r>
    </w:p>
    <w:p w14:paraId="00F2BF61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Выявлено 653 объекта с зарегистрированным правом собственности, более 2 тыс. объектов с некорректными адресами (не указаны номера квартир, либо домов, дублируются адреса). Соответствующая информация передана в Управление Росреестра по РД по 1 тыс. объектов. Формируется перечень объектов для очередного направления сведений в Управление Росреестра по РД по 1500 объектам. </w:t>
      </w:r>
    </w:p>
    <w:p w14:paraId="7BA4A302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Также, информация о выявленных правообладателях направлена в адрес Дагестанского фонда капитального ремонта в целях проведения претензионно-исковой работы с должниками. </w:t>
      </w:r>
    </w:p>
    <w:p w14:paraId="760E7B7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 xml:space="preserve">В целом, за период реализации требований данного закона, в том числе путем привлечения управляющих организаций и участковых уполномоченных полиции посредством проведения разъяснительной работы с правообладателями, обеспечена регистрация права собственности по более 3,5 тыс. ранее учтенным объектам недвижимости, расположенным в многоквартирном жилищном фонде. </w:t>
      </w:r>
    </w:p>
    <w:p w14:paraId="24A34D4A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Работа в данном направлении продолжается.</w:t>
      </w:r>
    </w:p>
    <w:p w14:paraId="27D8C742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</w:p>
    <w:p w14:paraId="4260EB5E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Жилищный фонд: дети-сироты</w:t>
      </w:r>
    </w:p>
    <w:p w14:paraId="1B325E6D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16"/>
          <w:szCs w:val="16"/>
          <w:lang w:eastAsia="ru-RU"/>
        </w:rPr>
      </w:pPr>
    </w:p>
    <w:p w14:paraId="765D36F0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2025 году на обеспечение жильём детей-сирот доведены лимиты 42,7 млн рублей (9 человек). </w:t>
      </w:r>
    </w:p>
    <w:p w14:paraId="71118FFE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Администрацией города запрошены дополнительные 195,4 млн рублей для приобретения ещё 41 жилого помещения. Всего обеспечено 50 сирот, из них 5 – участники СВО. В списке нуждающихся – 830 человек (716 старше 18 лет). Рассмотрено 73 материала о постановке на учёт, из них 51 обратившихся поставлены на соответствующий учёт. Минстроем РД выдано 19 сертификатов.</w:t>
      </w:r>
    </w:p>
    <w:p w14:paraId="49CDF86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По вопросам приватизации рассмотрено 233 заявления, принято 46 решений о передаче жилья в собственность.</w:t>
      </w:r>
    </w:p>
    <w:p w14:paraId="735C4B6B" w14:textId="77777777" w:rsidR="00311091" w:rsidRDefault="00311091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</w:p>
    <w:p w14:paraId="7DBEC434" w14:textId="0AAEEA39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Безопасность</w:t>
      </w:r>
    </w:p>
    <w:p w14:paraId="1A7A01B8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14"/>
          <w:szCs w:val="14"/>
          <w:lang w:eastAsia="ru-RU"/>
        </w:rPr>
      </w:pPr>
    </w:p>
    <w:p w14:paraId="55A0A90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Реализуется муниципальная программа по борьбе с идеологией терроризма.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программу внесены корректировки в части включения мероприятий, направленных на разъяснения опасности неонацизма, особенно для прибывших из ДНР, ЛНР и Украины. </w:t>
      </w:r>
    </w:p>
    <w:p w14:paraId="0F80C8A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Объем финансирования по программе составил 1,8 млн рублей.</w:t>
      </w:r>
    </w:p>
    <w:p w14:paraId="5A9DC1F2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Указанная сумма реализована в полном объеме, мероприятия проведены в установленные сроки:</w:t>
      </w:r>
    </w:p>
    <w:p w14:paraId="71264B9C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аспорта безопасности есть у всех 158 школ и 70 из 71 места массового пребывания;</w:t>
      </w:r>
    </w:p>
    <w:p w14:paraId="652F92AF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 проведено более 52 бесед со школьниками с участием духовенства, 26 лекций в вузах;</w:t>
      </w:r>
    </w:p>
    <w:p w14:paraId="6D1B3CE1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 на сайте администрации и в соцсетях публикуются памятки, фильмы, ролики и методические материалы по антитеррору.</w:t>
      </w:r>
    </w:p>
    <w:p w14:paraId="48FB86DD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области гражданской обороны разработаны планы приёма и размещения эвакуируемого населения с 11 безопасными районами Республики Дагестан. </w:t>
      </w:r>
    </w:p>
    <w:p w14:paraId="7471A15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Курсы гражданской обороны прошли 340 должностных лиц. </w:t>
      </w:r>
    </w:p>
    <w:p w14:paraId="4646F39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Перечень заглублённых помещений для укрытия населения доведён до 85% охвата (в 2024 – 17%). Подготовлены материалы по 10 защитным сооружениям для перевода в категорию «укрытие».</w:t>
      </w:r>
    </w:p>
    <w:p w14:paraId="2AFB232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 xml:space="preserve">За 2025 год от граждан, пострадавших в результате взрыва бытового газа на ул.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Гапцахская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и обильных дождей, поступило 778 обращений. Оказана материальная помощь на 16,8 млн рублей.</w:t>
      </w:r>
    </w:p>
    <w:p w14:paraId="7F802CFC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области пожарной безопасности в 40 муниципальных учреждениях установлены противопожарные лестницы, КПП, видеонаблюдение, системы сигнализации. Установлено 64 пожарных извещателя в 48 домовладениях многодетных и социально незащищённых семей.</w:t>
      </w:r>
    </w:p>
    <w:p w14:paraId="734ACAFC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Проведено 48 антинаркотических бесед в школах, 22 рейда, выявлено 2 точки продажи запрещённых веществ. Реализована программа профилактики правонарушений (150 тыс. рублей). На внутришкольном учёте состоят 273 учащихся, на учёте в ПДН – 29 несовершеннолетних.</w:t>
      </w:r>
    </w:p>
    <w:p w14:paraId="175A271A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части противодействия коррупции проведено 11 заседаний комиссии по урегулированию конфликта интересов, рассмотрено 6 представлений прокуратуры, 4 уведомления, материалы на 25 муниципальных служащих. К дисциплинарной ответственности привлечено 8 человек.</w:t>
      </w:r>
    </w:p>
    <w:p w14:paraId="789AC62A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</w:p>
    <w:p w14:paraId="64B1428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Культура</w:t>
      </w:r>
    </w:p>
    <w:p w14:paraId="7F5205E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10"/>
          <w:szCs w:val="10"/>
          <w:lang w:eastAsia="ru-RU"/>
        </w:rPr>
      </w:pPr>
    </w:p>
    <w:p w14:paraId="08B8D54C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2025 году, объявленном Президентом России Годом защитника Отечества, мы все отметили 80-летие Великой Победы. </w:t>
      </w:r>
    </w:p>
    <w:p w14:paraId="35DB7397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городе прошли многочисленные мероприятия, посвящённые этой дате. Проведено 3 500 культурно-массовых мероприятий, 300 из которых – общегородские. Охват зрителей составил 2 370 000 человек (+350 000 к 2024 году). </w:t>
      </w:r>
    </w:p>
    <w:p w14:paraId="3EEE3D6D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Шестой год подряд библиотеки-филиалы становятся победителями нацпроекта «Семья» по созданию библиотек нового поколения. В 2025 году функционировали 6 таких библиотек (вновь открыты филиалы №9 и №23). Объём средств на реализацию – 16,2 млн рублей. За счёт местного бюджета проведён капремонт помещений библиотек на 9,8 млн рублей.</w:t>
      </w:r>
    </w:p>
    <w:p w14:paraId="54B742B5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</w:p>
    <w:p w14:paraId="1586F7DE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Спорт</w:t>
      </w:r>
    </w:p>
    <w:p w14:paraId="75DFB884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12"/>
          <w:szCs w:val="12"/>
          <w:lang w:eastAsia="ru-RU"/>
        </w:rPr>
      </w:pPr>
    </w:p>
    <w:p w14:paraId="22B69AFD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2025 году Махачкала продемонстрировала впечатляющие результаты в сфере массового спорта и оздоровления населения.</w:t>
      </w:r>
    </w:p>
    <w:p w14:paraId="52649947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Проведено 236 спортивных и физкультурно-массовых мероприятий с участием более 125 тысяч горожан. Доля регулярно занимающихся спортом достигла 63,5% (464 869 человек). Махачкала вошла в восьмёрку лучших городов России по итогам Дня физкультурника. Проведено 60 еженедельных акций «Зарядка с чемпионом».</w:t>
      </w:r>
    </w:p>
    <w:p w14:paraId="78590990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39 спортивных школах занимаются 27 585 человек. Завоёвано 1710 медалей (172 – на международных соревнованиях). 310 спортсменов вошли в состав 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 xml:space="preserve">сборных команд России. Открыт ФОКОТ (физкультурно-оздоровительный комплекс открытого типа) на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ул.Перова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. </w:t>
      </w:r>
    </w:p>
    <w:p w14:paraId="0AD0D22D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На 2026 год запланировано 216 мероприятий, цель к 2030 году – охватить спортом 70% населения.</w:t>
      </w:r>
    </w:p>
    <w:p w14:paraId="081BBB61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</w:p>
    <w:p w14:paraId="2AF0201A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Молодёжная политика</w:t>
      </w:r>
    </w:p>
    <w:p w14:paraId="590C5132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8"/>
          <w:szCs w:val="8"/>
          <w:lang w:eastAsia="ru-RU"/>
        </w:rPr>
      </w:pPr>
    </w:p>
    <w:p w14:paraId="4893DD81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Махачкала – молодёжная столица Северного Кавказа. 36,2% населения (более 275 тысяч человек) –молодые люди от 14 до 35 лет. Это абсолютное первое место в СКФО по численности молодёжи. </w:t>
      </w:r>
    </w:p>
    <w:p w14:paraId="6BA57EBE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12 вузах и 25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сузах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обучаются 76 тысяч студентов. В 2025 году реализовано 102 мероприятия с охватом свыше 165 тысяч участников. Город стал центром проведения всероссийских акций «Блокадный хлеб», «Георгиевская ленточка», «Бессмертный полк». Ярчайшее событие – фестиваль «15 дней до Победы» (более 5 000 участников).</w:t>
      </w:r>
    </w:p>
    <w:p w14:paraId="46FC39E8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городе действуют 156 волонтёрских организаций, объединяющих       74 000 добровольцев. Одним из значимых результатов стало передача здания бывшего банкетного зала «Белый дом» в парке Ленинского комсомола под Дом молодёжи. Это открывает путь к участию во всероссийском конкурсе «Регион для молодых» в 2026 году.</w:t>
      </w:r>
    </w:p>
    <w:p w14:paraId="55464EEC" w14:textId="77777777" w:rsidR="00471616" w:rsidRDefault="00471616" w:rsidP="00471616">
      <w:pPr>
        <w:shd w:val="clear" w:color="auto" w:fill="FFFFFF"/>
        <w:spacing w:before="240" w:after="24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Туризм</w:t>
      </w:r>
    </w:p>
    <w:p w14:paraId="054EA52E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городе 190 средств размещения (номерной фонд – 4 150 ед., вместимость – 10 129 чел.). </w:t>
      </w:r>
    </w:p>
    <w:p w14:paraId="3523895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Турпоток в Дагестан за 2025 год – более 1,85 млн туристов (+4,9%), из них в Махачкалу – 913 697 чел.</w:t>
      </w:r>
    </w:p>
    <w:p w14:paraId="2F5887DA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Средняя загрузка отелей в высокий сезон превысила 65%. </w:t>
      </w:r>
    </w:p>
    <w:p w14:paraId="72608757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Работают 185 туристических фирм. </w:t>
      </w:r>
    </w:p>
    <w:p w14:paraId="7C3509F1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С 1 января 2025 года введён туристический налог (ставка 1%), плановые показатели 26 млн рублей исполнены на 100%.</w:t>
      </w:r>
    </w:p>
    <w:p w14:paraId="19CB4DC7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Актуализировано 7 экскурсионных маршрутов, разработано мобильное приложение «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МАХнём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!», функционирует МАУ «Городской центр туризма». Установлено 30 знаков туристской навигации и 4 информационных стенда. Благоустроены 4 пляжные территории. </w:t>
      </w:r>
    </w:p>
    <w:p w14:paraId="27737C1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При поддержке республики выделено 8 млн рублей на создание Туристско-информационного центра.</w:t>
      </w:r>
    </w:p>
    <w:p w14:paraId="146BA1E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2025 году состоялось 40 плановых мероприятий в сфере туризма с охватом более 65 000 человек. </w:t>
      </w:r>
    </w:p>
    <w:p w14:paraId="002EA27D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Ключевые события:</w:t>
      </w:r>
    </w:p>
    <w:p w14:paraId="181C5627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- Первый молодежный туристический форум «Анжи.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Опэн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» (апрель).</w:t>
      </w:r>
    </w:p>
    <w:p w14:paraId="1221C740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>- Спортивно-туристическое мероприятие «Победа поколений» к 80-летию Победы (май).</w:t>
      </w:r>
    </w:p>
    <w:p w14:paraId="34E5A31F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- Участие во Всероссийском форуме «Открытый Дагестан – 2025» (сентябрь).</w:t>
      </w:r>
    </w:p>
    <w:p w14:paraId="68AFA31F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Особое внимание уделено поддержке семей участников СВО: для детей проведен цикл познавательных экскурсий по городу и историческому парку «Россия — моя история».</w:t>
      </w:r>
    </w:p>
    <w:p w14:paraId="3511DDE3" w14:textId="77777777" w:rsidR="00471616" w:rsidRDefault="00471616" w:rsidP="00471616">
      <w:pPr>
        <w:shd w:val="clear" w:color="auto" w:fill="FFFFFF"/>
        <w:spacing w:before="480" w:after="240" w:line="276" w:lineRule="auto"/>
        <w:ind w:firstLine="709"/>
        <w:jc w:val="both"/>
        <w:outlineLvl w:val="1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Помощь участникам СВО и членам их семей</w:t>
      </w:r>
    </w:p>
    <w:p w14:paraId="097A307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Поддержка военнослужащих и их семей – наша приоритетная задача. </w:t>
      </w:r>
    </w:p>
    <w:p w14:paraId="2FA15D3B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2025 году составлены социальные паспорта на 1 067 семей. </w:t>
      </w:r>
    </w:p>
    <w:p w14:paraId="5C8275C7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63 участникам СВО и членам их семей выделены земельные участки для ИЖС. </w:t>
      </w:r>
    </w:p>
    <w:p w14:paraId="13ED28DD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школах обучаются 5 144 ребёнка </w:t>
      </w:r>
      <w:bookmarkStart w:id="5" w:name="_Hlk227591025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из семей участников СВО</w:t>
      </w:r>
      <w:bookmarkEnd w:id="5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, все обеспечены бесплатным горячим питанием. </w:t>
      </w:r>
    </w:p>
    <w:p w14:paraId="0C456A6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За прошлый год принято более 1 000 обращений от </w:t>
      </w:r>
      <w:bookmarkStart w:id="6" w:name="_Hlk227771412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участников СВО и членов их семей</w:t>
      </w:r>
      <w:bookmarkEnd w:id="6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, более 200 приняты Главой города.</w:t>
      </w:r>
    </w:p>
    <w:p w14:paraId="5E0F82CD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Результаты: освобождены от родительской платы в детсадах 1 800 детей, организован бесплатный отдых в лагерях для более 500 детей, трудоустроены 97 человек, оказана медпомощь 332 человекам, помощь продуктовыми наборами – 235 семьям, адресная материальная помощь – 96 семьям, содействие в совершении хаджа – 16 человек.</w:t>
      </w:r>
    </w:p>
    <w:p w14:paraId="1419D1B6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Из резервного фонда оказана материальная помощь 411 участникам СВО, заключившим контракт, на общую сумму 146,4 млн рублей.</w:t>
      </w:r>
    </w:p>
    <w:p w14:paraId="3D8EE16C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Организован пункт отбора на военную службу по контракту и три дополнительных представительства. При плане 879 человек заключено 425 контрактов (48,4%). Собрано и отправлено более 500 тонн гуманитарного груза.</w:t>
      </w:r>
    </w:p>
    <w:p w14:paraId="2D6ACFD1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</w:p>
    <w:p w14:paraId="75B347C2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Поддержка инвалидов</w:t>
      </w:r>
    </w:p>
    <w:p w14:paraId="79D4DE93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14:paraId="766BAC67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Особое внимание Администрацией города Махачкалы уделяется вопросам поддержки и интеграции людей с ограниченными возможностями здоровья. Мы активно с ними взаимодействуем в целях создания доступной и комфортной городской среды.</w:t>
      </w:r>
    </w:p>
    <w:p w14:paraId="1BC1E721" w14:textId="3ACEC876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Важным шагом в этом направлении стало назначение наиболее социально активных представителей сообщества в качестве общественных помощников Главы города: это руководитель проекта </w:t>
      </w:r>
      <w:r w:rsidR="00311091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Монитор доступной среды</w:t>
      </w:r>
      <w:r w:rsidR="00311091"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Алиева С.С. и спортсмен-колясочник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Джамиев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М.С., что позволяет обеспечить учет мнения людей с инвалидностью в процессе принятия решений.</w:t>
      </w:r>
    </w:p>
    <w:p w14:paraId="78CC8C44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>Совместная работа с активистами уже принесла ощутимые результаты, в частности на городских территориях было приведено в нормативное состояние и обустроено более 800 пандусов. Это значительно повысило доступность общественных пространств для людей с ограниченными возможностями.</w:t>
      </w:r>
    </w:p>
    <w:p w14:paraId="5A2DFE25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В 2025 году в Махачкале прошло несколько крупных мероприятий, направленных на защиту прав инвалидов и их социализацию. В их числе юбилейные мероприятия регионального отделения Всероссийского общества слепых, собравшие около 100 участников, а также мероприятие, приуроченное к Международному дню инвалидов, в котором приняли участие более 200 человек из 22 общественных организаций.</w:t>
      </w:r>
    </w:p>
    <w:p w14:paraId="6933D7F7" w14:textId="29ED2B9D" w:rsidR="00471616" w:rsidRDefault="00471616" w:rsidP="0031109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Для координации деятельности в сфере формирования доступной среды и оказания адресной помощи людям с ограниченными возможностями здоровья создана городская комиссия. В этом году Администрация города выделила субсидии на общую сумму 10 миллионов рублей для поддержки активных представителей Махачкалинских отделений некоммерческих общественных организаций.</w:t>
      </w:r>
    </w:p>
    <w:p w14:paraId="04F114E5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Кроме того, планируется создание городского ресурсного центра, который объединит различные организации и станет платформой для работы комиссии по созданию доступной среды, что позволит более эффективно решать проблемы людей с ограниченными возможностями.</w:t>
      </w:r>
    </w:p>
    <w:p w14:paraId="2FBB59D4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Особое внимание уделяется инвалидам – участникам специальной военной операции. Для них разрабатываются специальные программы адаптации жилых помещений, приобретения инвалидных колясок и автотранспортных средств, а также трудоустройства.</w:t>
      </w:r>
    </w:p>
    <w:p w14:paraId="4171DC2D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Администрация города Махачкалы продолжит планомерную работу по созданию инклюзивного общества, где каждый человек, независимо от своих физических возможностей, сможет полноценно реализовать себя и участвовать в жизни города.</w:t>
      </w:r>
    </w:p>
    <w:p w14:paraId="48189319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</w:p>
    <w:p w14:paraId="71CFFD5F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Муниципальные услуги и обращения граждан</w:t>
      </w:r>
    </w:p>
    <w:p w14:paraId="533816CD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14"/>
          <w:szCs w:val="14"/>
          <w:lang w:eastAsia="ru-RU"/>
        </w:rPr>
      </w:pPr>
    </w:p>
    <w:p w14:paraId="29CFA8E4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Администрация города Махачкалы предоставляет 62 муниципальные услуги, 33 из них – массовые социально-значимые, оказываемые в том числе в электронном виде. Доля обращений через ЕПГУ (Единый портал государственных и муниципальных услуг) составляет 61,3% (план – не менее 51%). Поступило 146 096 заявлений о предоставлении услуг.</w:t>
      </w:r>
    </w:p>
    <w:p w14:paraId="1E8EF451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В системе электронного документооборота поступило 10 831 обращение граждан: </w:t>
      </w:r>
    </w:p>
    <w:p w14:paraId="6D3F97D2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- из Администрации Главы и Правительства РД – 2 662, </w:t>
      </w:r>
    </w:p>
    <w:p w14:paraId="3BB04FAC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- в отдел по работе с обращениями – 7 235, </w:t>
      </w:r>
    </w:p>
    <w:p w14:paraId="75ED410A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lastRenderedPageBreak/>
        <w:t xml:space="preserve">- по электронной почте – 934. </w:t>
      </w:r>
    </w:p>
    <w:p w14:paraId="29E50862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проведения личных приёмов Главой города было принято 68 граждан, руководством администрации принято 197 граждан. В отделе по работе с обращениями принято 3 660 граждан. </w:t>
      </w:r>
    </w:p>
    <w:p w14:paraId="527F52DE" w14:textId="77777777" w:rsidR="00471616" w:rsidRDefault="00471616" w:rsidP="0047161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Управлением «Центр управления городом» зафиксировано 17 756 обращений через платформы «Госуслуги», «Решаем вместе», «Инцидент-менеджмент», чат главы города. Наиболее частые темы: дороги (3 638), благоустройство (2 259), обращение с отходами (1 522), МКД (1 442), общественный транспорт (975). По электроснабжению зафиксировано 21 726 инцидентов, по водоснабжению – 3 655.</w:t>
      </w:r>
    </w:p>
    <w:p w14:paraId="799B027C" w14:textId="77777777" w:rsidR="00471616" w:rsidRDefault="00471616" w:rsidP="00471616">
      <w:pPr>
        <w:shd w:val="clear" w:color="auto" w:fill="FFFFFF"/>
        <w:spacing w:before="240" w:after="24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Архив</w:t>
      </w:r>
    </w:p>
    <w:p w14:paraId="4ABB4835" w14:textId="77777777" w:rsidR="00471616" w:rsidRDefault="00471616" w:rsidP="00471616">
      <w:pPr>
        <w:shd w:val="clear" w:color="auto" w:fill="FFFFFF"/>
        <w:spacing w:before="240" w:after="24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После затопления архивохранилищ 27 февраля 2024 года организован переезд из здания на ул. Р. Гамзатова, 97 в новое помещение на ул.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Даниялова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, 92. Площадь увеличена с 232,2 до 339,5 кв. м. Перемещено 13 072 единиц хранения. На муниципальное хранение принято 1 296 единиц. Оцифровано 13 113 листов архивных документов. Работа в данном направлении продолжается.</w:t>
      </w:r>
    </w:p>
    <w:p w14:paraId="0DCDE828" w14:textId="77777777" w:rsidR="00471616" w:rsidRDefault="00471616" w:rsidP="00471616">
      <w:pPr>
        <w:shd w:val="clear" w:color="auto" w:fill="FFFFFF"/>
        <w:spacing w:before="240" w:after="240" w:line="276" w:lineRule="auto"/>
        <w:ind w:firstLine="709"/>
        <w:jc w:val="both"/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Заключение</w:t>
      </w:r>
    </w:p>
    <w:p w14:paraId="2F500446" w14:textId="77777777" w:rsidR="00471616" w:rsidRDefault="00471616" w:rsidP="00471616">
      <w:pPr>
        <w:shd w:val="clear" w:color="auto" w:fill="FFFFFF"/>
        <w:spacing w:before="240" w:after="240" w:line="276" w:lineRule="auto"/>
        <w:ind w:firstLine="709"/>
        <w:jc w:val="both"/>
        <w:rPr>
          <w:rFonts w:ascii="Times New Roman" w:eastAsia="Times New Roman" w:hAnsi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Представленный отчёт отражает основные результаты деятельности Администрации города Махачкалы в 2025 году. Мы отдаём себе отчёт в том, что многие проблемы остаются нерешёнными, однако динамика по ключевым направлениям — бюджетной, экономической, градостроительной, социальной — подтверждает правильность выбранного курса. В 2026 году работа будет продолжена в рамках обозначенных приоритетов, с учётом замечаний и предложений депутатского корпуса. Уверен, что совместные усилия позволят последовательно повышать качество жизни в Махачкале, в русле общенациональных приоритетов, обозначенных Президентом России Владимиром Владимировичем Путиным и Главой Дагестана Сергеем </w:t>
      </w:r>
      <w:proofErr w:type="spellStart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>Алимовичем</w:t>
      </w:r>
      <w:proofErr w:type="spellEnd"/>
      <w:r>
        <w:rPr>
          <w:rFonts w:ascii="Times New Roman" w:eastAsia="Times New Roman" w:hAnsi="Times New Roman"/>
          <w:color w:val="0F1115"/>
          <w:sz w:val="28"/>
          <w:szCs w:val="28"/>
          <w:lang w:eastAsia="ru-RU"/>
        </w:rPr>
        <w:t xml:space="preserve"> Меликовым.</w:t>
      </w:r>
    </w:p>
    <w:p w14:paraId="38A460AE" w14:textId="151DB8E6" w:rsidR="00471616" w:rsidRDefault="00471616" w:rsidP="001E6BB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04B002F" w14:textId="77777777" w:rsidR="00471616" w:rsidRDefault="00471616" w:rsidP="001E6BB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471616" w:rsidSect="00311091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BBD"/>
    <w:rsid w:val="001E6BBD"/>
    <w:rsid w:val="00311091"/>
    <w:rsid w:val="00471616"/>
    <w:rsid w:val="009E172C"/>
    <w:rsid w:val="00CD05B9"/>
    <w:rsid w:val="00D474C0"/>
    <w:rsid w:val="00E5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2C7E"/>
  <w15:chartTrackingRefBased/>
  <w15:docId w15:val="{9F939AB3-99DB-4C20-A335-A7FCE951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BB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71616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4716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2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23</Pages>
  <Words>7362</Words>
  <Characters>41970</Characters>
  <Application>Microsoft Office Word</Application>
  <DocSecurity>0</DocSecurity>
  <Lines>349</Lines>
  <Paragraphs>98</Paragraphs>
  <ScaleCrop>false</ScaleCrop>
  <Company/>
  <LinksUpToDate>false</LinksUpToDate>
  <CharactersWithSpaces>49234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2026-04-23T15:34:00Z</dcterms:created>
  <dcterms:modified xsi:type="dcterms:W3CDTF">2026-04-28T12:49:00Z</dcterms:modified>
</cp:coreProperties>
</file>